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1"/>
          <w:szCs w:val="44"/>
          <w:u w:val="none"/>
        </w:rPr>
        <w:t>目  录</w:t>
      </w:r>
    </w:p>
    <w:p>
      <w:pPr>
        <w:spacing w:line="660" w:lineRule="exact"/>
        <w:rPr>
          <w:rFonts w:ascii="宋体" w:hAnsi="宋体" w:cs="宋体"/>
          <w:b w:val="0"/>
          <w:bCs/>
          <w:i w:val="0"/>
          <w:color w:val="000000"/>
          <w:kern w:val="0"/>
          <w:sz w:val="21"/>
          <w:szCs w:val="44"/>
          <w:u w:val="none"/>
        </w:rPr>
      </w:pPr>
    </w:p>
    <w:p>
      <w:pPr>
        <w:spacing w:line="30" w:lineRule="exact"/>
        <w:rPr>
          <w:rFonts w:ascii="黑体" w:eastAsia="黑体"/>
          <w:b w:val="0"/>
          <w:i w:val="0"/>
          <w:color w:val="000000"/>
          <w:sz w:val="21"/>
          <w:szCs w:val="18"/>
          <w:u w:val="none"/>
        </w:rPr>
      </w:pPr>
    </w:p>
    <w:p>
      <w:pPr>
        <w:spacing w:line="560" w:lineRule="exact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0"/>
          <w:u w:val="none"/>
        </w:rPr>
        <w:t>第一部分 部门/单位基本概况</w:t>
      </w:r>
    </w:p>
    <w:p>
      <w:pPr>
        <w:spacing w:line="560" w:lineRule="exact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0"/>
          <w:u w:val="none"/>
        </w:rPr>
        <w:t>部门/单位职责</w:t>
      </w:r>
    </w:p>
    <w:p>
      <w:pPr>
        <w:spacing w:line="560" w:lineRule="exact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0"/>
          <w:u w:val="none"/>
        </w:rPr>
        <w:t>二、机构设置情况</w:t>
      </w:r>
    </w:p>
    <w:p>
      <w:pPr>
        <w:spacing w:line="560" w:lineRule="exact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0"/>
          <w:u w:val="none"/>
        </w:rPr>
        <w:t>第二部分 2024年部门/单位预算情况说明</w:t>
      </w:r>
    </w:p>
    <w:p>
      <w:pPr>
        <w:spacing w:line="560" w:lineRule="exact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0"/>
          <w:u w:val="none"/>
        </w:rPr>
        <w:t>一、收支总体情况</w:t>
      </w:r>
    </w:p>
    <w:p>
      <w:pPr>
        <w:spacing w:line="560" w:lineRule="exact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0"/>
          <w:u w:val="none"/>
        </w:rPr>
        <w:t>二、一般公共预算情况</w:t>
      </w:r>
    </w:p>
    <w:p>
      <w:pPr>
        <w:spacing w:line="560" w:lineRule="exact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0"/>
          <w:u w:val="none"/>
        </w:rPr>
        <w:t>三、一般公共预算财政拨款“三公”经费、培训费、会议费等情况</w:t>
      </w:r>
    </w:p>
    <w:p>
      <w:pPr>
        <w:spacing w:line="560" w:lineRule="exact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0"/>
          <w:u w:val="none"/>
        </w:rPr>
        <w:t>四、一般公共预算财政拨款机关运行经费情况</w:t>
      </w:r>
    </w:p>
    <w:p>
      <w:pPr>
        <w:spacing w:line="560" w:lineRule="exact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0"/>
          <w:u w:val="none"/>
        </w:rPr>
        <w:t>五、政府采购安排情况</w:t>
      </w:r>
    </w:p>
    <w:p>
      <w:pPr>
        <w:spacing w:line="560" w:lineRule="exact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0"/>
          <w:u w:val="none"/>
        </w:rPr>
        <w:t>六、国有资产占用情况</w:t>
      </w:r>
    </w:p>
    <w:p>
      <w:pPr>
        <w:spacing w:line="560" w:lineRule="exact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0"/>
          <w:u w:val="none"/>
        </w:rPr>
        <w:t>七、其他重要事项情况说明</w:t>
      </w:r>
    </w:p>
    <w:p>
      <w:pPr>
        <w:spacing w:line="560" w:lineRule="exact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0"/>
          <w:u w:val="none"/>
        </w:rPr>
        <w:t>八、预算绩效管理情况</w:t>
      </w:r>
    </w:p>
    <w:p>
      <w:pPr>
        <w:spacing w:line="560" w:lineRule="exact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0"/>
          <w:u w:val="none"/>
        </w:rPr>
        <w:t>九、名词解释</w:t>
      </w:r>
    </w:p>
    <w:p>
      <w:pPr>
        <w:spacing w:line="560" w:lineRule="exact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0"/>
          <w:u w:val="none"/>
        </w:rPr>
        <w:t>第三部分 2024年部门（单位）预算公开表</w:t>
      </w:r>
    </w:p>
    <w:p>
      <w:pPr>
        <w:spacing w:line="560" w:lineRule="exact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0"/>
          <w:u w:val="none"/>
        </w:rPr>
        <w:t>一、部门/单位收支总体情况表</w:t>
      </w:r>
    </w:p>
    <w:p>
      <w:pPr>
        <w:spacing w:line="560" w:lineRule="exact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0"/>
          <w:u w:val="none"/>
        </w:rPr>
        <w:t>二、部门/单位收入总体情况表</w:t>
      </w:r>
    </w:p>
    <w:p>
      <w:pPr>
        <w:spacing w:line="560" w:lineRule="exact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0"/>
          <w:u w:val="none"/>
        </w:rPr>
        <w:t>三、部门/单位支出总体情况表</w:t>
      </w:r>
    </w:p>
    <w:p>
      <w:pPr>
        <w:spacing w:line="560" w:lineRule="exact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0"/>
          <w:u w:val="none"/>
        </w:rPr>
        <w:t>四、财政拨款收支总体情况表</w:t>
      </w:r>
    </w:p>
    <w:p>
      <w:pPr>
        <w:spacing w:line="560" w:lineRule="exact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0"/>
          <w:u w:val="none"/>
        </w:rPr>
        <w:t>五、财政拨款支出表</w:t>
      </w:r>
    </w:p>
    <w:p>
      <w:pPr>
        <w:spacing w:line="560" w:lineRule="exact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0"/>
          <w:u w:val="none"/>
        </w:rPr>
        <w:t>六、一般公共预算支出情况表</w:t>
      </w:r>
    </w:p>
    <w:p>
      <w:pPr>
        <w:spacing w:line="560" w:lineRule="exact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0"/>
          <w:u w:val="none"/>
        </w:rPr>
        <w:t>七、一般公共预算基本支出情况表</w:t>
      </w:r>
    </w:p>
    <w:p>
      <w:pPr>
        <w:spacing w:line="560" w:lineRule="exact"/>
        <w:jc w:val="left"/>
        <w:rPr>
          <w:rFonts w:ascii="仿宋_GB2312" w:hAnsi="仿宋" w:eastAsia="仿宋_GB2312"/>
          <w:color w:val="000000"/>
          <w:spacing w:val="-20"/>
          <w:sz w:val="30"/>
          <w:szCs w:val="30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0"/>
          <w:u w:val="none"/>
        </w:rPr>
        <w:t>八、</w:t>
      </w:r>
      <w:r>
        <w:rPr>
          <w:rFonts w:hint="eastAsia" w:ascii="仿宋_GB2312" w:hAnsi="仿宋" w:eastAsia="仿宋_GB2312"/>
          <w:b w:val="0"/>
          <w:i w:val="0"/>
          <w:color w:val="000000"/>
          <w:spacing w:val="-20"/>
          <w:sz w:val="21"/>
          <w:szCs w:val="30"/>
          <w:u w:val="none"/>
        </w:rPr>
        <w:t>一般公共预算财政拨款“三公”经费、会议费、培训费支出情况表</w:t>
      </w:r>
    </w:p>
    <w:p>
      <w:pPr>
        <w:spacing w:line="560" w:lineRule="exact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0"/>
          <w:u w:val="none"/>
        </w:rPr>
        <w:t>九、一般公共预算财政拨款机关运行经费表</w:t>
      </w:r>
    </w:p>
    <w:p>
      <w:pPr>
        <w:spacing w:line="560" w:lineRule="exact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0"/>
          <w:u w:val="none"/>
        </w:rPr>
        <w:t>十、政府性基金预算支出情况表</w:t>
      </w:r>
    </w:p>
    <w:p>
      <w:pPr>
        <w:spacing w:line="560" w:lineRule="exact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0"/>
          <w:u w:val="none"/>
        </w:rPr>
        <w:t>十一、国有资本经营预算支出情况表</w:t>
      </w:r>
    </w:p>
    <w:p>
      <w:pPr>
        <w:spacing w:line="560" w:lineRule="exact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0"/>
          <w:u w:val="none"/>
        </w:rPr>
        <w:t>十二、部门/单位整体支出绩效目标表和项目支出绩效目标表</w:t>
      </w:r>
    </w:p>
    <w:p>
      <w:pPr>
        <w:spacing w:line="660" w:lineRule="exact"/>
        <w:rPr>
          <w:rFonts w:ascii="仿宋_GB2312" w:hAnsi="宋体" w:eastAsia="仿宋_GB2312" w:cs="宋体"/>
          <w:b w:val="0"/>
          <w:bCs/>
          <w:i w:val="0"/>
          <w:color w:val="000000"/>
          <w:kern w:val="0"/>
          <w:sz w:val="21"/>
          <w:szCs w:val="44"/>
          <w:u w:val="none"/>
        </w:rPr>
      </w:pPr>
    </w:p>
    <w:p>
      <w:pPr>
        <w:spacing w:line="600" w:lineRule="exact"/>
        <w:rPr>
          <w:rFonts w:ascii="仿宋_GB2312" w:hAnsi="仿宋" w:eastAsia="仿宋_GB2312" w:cs="宋体"/>
          <w:b w:val="0"/>
          <w:i w:val="0"/>
          <w:color w:val="000000"/>
          <w:kern w:val="0"/>
          <w:sz w:val="21"/>
          <w:szCs w:val="28"/>
          <w:u w:val="none"/>
        </w:rPr>
        <w:sectPr>
          <w:footerReference r:id="rId3" w:type="default"/>
          <w:pgSz w:w="11906" w:h="16838"/>
          <w:pgMar w:top="1134" w:right="1134" w:bottom="1440" w:left="1276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仿宋_GB2312" w:hAnsi="黑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 w:val="0"/>
          <w:i w:val="0"/>
          <w:color w:val="000000"/>
          <w:kern w:val="0"/>
          <w:sz w:val="21"/>
          <w:szCs w:val="32"/>
          <w:u w:val="none"/>
        </w:rPr>
        <w:t>前言</w:t>
      </w:r>
    </w:p>
    <w:p>
      <w:pPr>
        <w:spacing w:line="600" w:lineRule="exact"/>
        <w:ind w:firstLine="42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i w:val="0"/>
          <w:color w:val="000000"/>
          <w:kern w:val="0"/>
          <w:sz w:val="21"/>
          <w:szCs w:val="32"/>
          <w:u w:val="none"/>
        </w:rPr>
        <w:t>按照《中华人民共和国预算法》《中华人民共和国预算法实施条例》以及</w:t>
      </w:r>
      <w:r>
        <w:rPr>
          <w:rFonts w:ascii="仿宋_GB2312" w:hAnsi="仿宋" w:eastAsia="仿宋_GB2312" w:cs="宋体"/>
          <w:b w:val="0"/>
          <w:i w:val="0"/>
          <w:color w:val="000000"/>
          <w:kern w:val="0"/>
          <w:sz w:val="21"/>
          <w:szCs w:val="32"/>
          <w:u w:val="none"/>
        </w:rPr>
        <w:t>财政部</w:t>
      </w:r>
      <w:r>
        <w:rPr>
          <w:rFonts w:hint="eastAsia" w:ascii="仿宋_GB2312" w:hAnsi="仿宋" w:eastAsia="仿宋_GB2312" w:cs="宋体"/>
          <w:b w:val="0"/>
          <w:i w:val="0"/>
          <w:color w:val="000000"/>
          <w:kern w:val="0"/>
          <w:sz w:val="21"/>
          <w:szCs w:val="32"/>
          <w:u w:val="none"/>
        </w:rPr>
        <w:t>《地方预决算公开操作规程》《关于推进部门所属单位预算公开的指导意见》和《中共甘肃省委办公厅 甘肃省人民政府办公厅关于进一步推进预算公开工作的实施方案》要求，现将2024年部门预算公开如下：</w:t>
      </w:r>
    </w:p>
    <w:p>
      <w:pPr>
        <w:spacing w:line="60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i w:val="0"/>
          <w:color w:val="000000"/>
          <w:kern w:val="0"/>
          <w:sz w:val="21"/>
          <w:szCs w:val="32"/>
          <w:u w:val="none"/>
        </w:rPr>
        <w:t>一、部门/单位职责</w:t>
      </w:r>
    </w:p>
    <w:p>
      <w:pPr>
        <w:spacing w:line="600" w:lineRule="exact"/>
        <w:rPr>
          <w:rFonts w:hint="eastAsia" w:ascii="仿宋_GB2312" w:hAnsi="仿宋" w:eastAsia="仿宋_GB2312" w:cs="宋体"/>
          <w:b w:val="0"/>
          <w:i w:val="0"/>
          <w:color w:val="000000"/>
          <w:kern w:val="0"/>
          <w:sz w:val="21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宋体"/>
          <w:b w:val="0"/>
          <w:i w:val="0"/>
          <w:color w:val="000000"/>
          <w:kern w:val="0"/>
          <w:sz w:val="21"/>
          <w:szCs w:val="32"/>
          <w:u w:val="none"/>
          <w:lang w:val="en-US" w:eastAsia="zh-CN"/>
        </w:rPr>
        <w:t>政治协商，参政议政，民主监督。</w:t>
      </w:r>
    </w:p>
    <w:p>
      <w:pPr>
        <w:spacing w:line="60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i w:val="0"/>
          <w:color w:val="000000"/>
          <w:kern w:val="0"/>
          <w:sz w:val="21"/>
          <w:szCs w:val="32"/>
          <w:u w:val="none"/>
        </w:rPr>
        <w:t>二、机构设置情况</w:t>
      </w:r>
    </w:p>
    <w:p>
      <w:pPr>
        <w:spacing w:line="600" w:lineRule="exact"/>
        <w:ind w:firstLine="210" w:firstLineChars="100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 w:val="0"/>
          <w:bCs/>
          <w:i w:val="0"/>
          <w:color w:val="000000"/>
          <w:kern w:val="0"/>
          <w:sz w:val="21"/>
          <w:szCs w:val="32"/>
          <w:u w:val="none"/>
        </w:rPr>
        <w:t>（一）机关内设机构</w:t>
      </w:r>
    </w:p>
    <w:p>
      <w:pPr>
        <w:ind w:firstLine="42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1"/>
          <w:szCs w:val="32"/>
          <w:u w:val="none"/>
        </w:rPr>
        <w:t>核定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1"/>
          <w:szCs w:val="32"/>
          <w:u w:val="none"/>
          <w:lang w:eastAsia="zh-CN"/>
        </w:rPr>
        <w:t>公务员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1"/>
          <w:szCs w:val="32"/>
          <w:u w:val="none"/>
        </w:rPr>
        <w:t>编制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1"/>
          <w:szCs w:val="32"/>
          <w:u w:val="none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1"/>
          <w:szCs w:val="32"/>
          <w:u w:val="none"/>
        </w:rPr>
        <w:t>名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1"/>
          <w:szCs w:val="32"/>
          <w:u w:val="none"/>
          <w:lang w:eastAsia="zh-CN"/>
        </w:rPr>
        <w:t>、事业编制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1"/>
          <w:szCs w:val="32"/>
          <w:u w:val="none"/>
          <w:lang w:val="en-US" w:eastAsia="zh-CN"/>
        </w:rPr>
        <w:t>9名、工勤编制7名，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1"/>
          <w:szCs w:val="32"/>
          <w:u w:val="none"/>
        </w:rPr>
        <w:t>核定领导指数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1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1"/>
          <w:szCs w:val="32"/>
          <w:u w:val="none"/>
        </w:rPr>
        <w:t>名，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1"/>
          <w:szCs w:val="32"/>
          <w:u w:val="none"/>
          <w:lang w:eastAsia="zh-CN"/>
        </w:rPr>
        <w:t>副县级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1"/>
          <w:szCs w:val="32"/>
          <w:u w:val="none"/>
        </w:rPr>
        <w:t>领导职数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1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1"/>
          <w:szCs w:val="32"/>
          <w:u w:val="none"/>
        </w:rPr>
        <w:t>名，</w:t>
      </w:r>
      <w:r>
        <w:rPr>
          <w:rFonts w:hint="eastAsia" w:ascii="仿宋" w:hAnsi="仿宋" w:eastAsia="仿宋" w:cs="仿宋"/>
          <w:b w:val="0"/>
          <w:i w:val="0"/>
          <w:color w:val="000000"/>
          <w:sz w:val="21"/>
          <w:u w:val="none"/>
        </w:rPr>
        <w:t>内设</w:t>
      </w:r>
      <w:r>
        <w:rPr>
          <w:rFonts w:hint="eastAsia" w:ascii="仿宋" w:hAnsi="仿宋" w:eastAsia="仿宋" w:cs="仿宋"/>
          <w:b w:val="0"/>
          <w:i w:val="0"/>
          <w:color w:val="000000"/>
          <w:sz w:val="21"/>
          <w:u w:val="none"/>
          <w:lang w:eastAsia="zh-CN"/>
        </w:rPr>
        <w:t>办公室、经济科技委员会、农业与农村工作委员会、民族宗教委员会、提案办理工作委员会、文史资料与学习宣传委员会</w:t>
      </w:r>
      <w:r>
        <w:rPr>
          <w:rFonts w:hint="eastAsia" w:ascii="仿宋" w:hAnsi="仿宋" w:eastAsia="仿宋" w:cs="仿宋"/>
          <w:b w:val="0"/>
          <w:i w:val="0"/>
          <w:color w:val="000000"/>
          <w:sz w:val="21"/>
          <w:u w:val="none"/>
        </w:rPr>
        <w:t>。</w:t>
      </w:r>
    </w:p>
    <w:p>
      <w:pPr>
        <w:spacing w:line="600" w:lineRule="exact"/>
        <w:ind w:firstLine="210" w:firstLineChars="100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 w:val="0"/>
          <w:bCs/>
          <w:i w:val="0"/>
          <w:color w:val="000000"/>
          <w:kern w:val="0"/>
          <w:sz w:val="21"/>
          <w:szCs w:val="32"/>
          <w:u w:val="none"/>
        </w:rPr>
        <w:t>（二）参照公务员法管理单位</w:t>
      </w:r>
    </w:p>
    <w:p>
      <w:pPr>
        <w:spacing w:line="600" w:lineRule="exact"/>
        <w:ind w:firstLine="42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1"/>
          <w:szCs w:val="32"/>
          <w:u w:val="none"/>
          <w:lang w:eastAsia="zh-CN"/>
        </w:rPr>
        <w:t>本单位为行政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1"/>
          <w:szCs w:val="32"/>
          <w:u w:val="none"/>
        </w:rPr>
        <w:t>单位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21"/>
          <w:szCs w:val="32"/>
          <w:u w:val="none"/>
          <w:lang w:eastAsia="zh-CN"/>
        </w:rPr>
        <w:t>。</w:t>
      </w:r>
    </w:p>
    <w:p>
      <w:pPr>
        <w:spacing w:line="60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i w:val="0"/>
          <w:color w:val="000000"/>
          <w:kern w:val="0"/>
          <w:sz w:val="21"/>
          <w:szCs w:val="32"/>
          <w:u w:val="none"/>
        </w:rPr>
        <w:t>三、部门/单位收支总体情况</w:t>
      </w:r>
    </w:p>
    <w:p>
      <w:pPr>
        <w:spacing w:line="600" w:lineRule="exact"/>
        <w:ind w:firstLine="42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i w:val="0"/>
          <w:color w:val="000000"/>
          <w:kern w:val="0"/>
          <w:sz w:val="21"/>
          <w:szCs w:val="32"/>
          <w:u w:val="none"/>
        </w:rPr>
        <w:t>按照预算管理有关规定，2024年部门（单位）收支包括机关预算和直属单位预算在内的汇总情况。</w:t>
      </w:r>
    </w:p>
    <w:p>
      <w:pPr>
        <w:spacing w:line="600" w:lineRule="exac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i w:val="0"/>
          <w:color w:val="000000"/>
          <w:kern w:val="0"/>
          <w:sz w:val="21"/>
          <w:szCs w:val="32"/>
          <w:u w:val="none"/>
        </w:rPr>
        <w:t>2024年部门收支总预算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  <w:lang w:val="en-US" w:eastAsia="zh-CN"/>
        </w:rPr>
        <w:t>897.54</w:t>
      </w:r>
      <w:r>
        <w:rPr>
          <w:rFonts w:hint="eastAsia" w:ascii="仿宋_GB2312" w:hAnsi="仿宋" w:eastAsia="仿宋_GB2312" w:cs="宋体"/>
          <w:b w:val="0"/>
          <w:i w:val="0"/>
          <w:color w:val="000000"/>
          <w:kern w:val="0"/>
          <w:sz w:val="21"/>
          <w:szCs w:val="32"/>
          <w:u w:val="none"/>
        </w:rPr>
        <w:t>万元。按照综合预算的原则，部门（单位）所有收入和支出均纳入部门预算管理。收入包括：一般公共预算拨款收入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  <w:lang w:val="en-US" w:eastAsia="zh-CN"/>
        </w:rPr>
        <w:t>897.54</w:t>
      </w:r>
      <w:r>
        <w:rPr>
          <w:rFonts w:hint="eastAsia" w:ascii="仿宋_GB2312" w:hAnsi="仿宋" w:eastAsia="仿宋_GB2312" w:cs="宋体"/>
          <w:b w:val="0"/>
          <w:i w:val="0"/>
          <w:color w:val="000000"/>
          <w:kern w:val="0"/>
          <w:sz w:val="21"/>
          <w:szCs w:val="32"/>
          <w:u w:val="none"/>
        </w:rPr>
        <w:t>万元；支出包括：一般公共服务支出、社会保障和就业支出、住房保障支出、其他支出。</w:t>
      </w:r>
    </w:p>
    <w:p>
      <w:pPr>
        <w:spacing w:line="600" w:lineRule="exact"/>
        <w:ind w:firstLine="42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 w:cs="宋体"/>
          <w:b w:val="0"/>
          <w:bCs/>
          <w:i w:val="0"/>
          <w:color w:val="000000"/>
          <w:kern w:val="0"/>
          <w:sz w:val="21"/>
          <w:szCs w:val="32"/>
          <w:u w:val="none"/>
        </w:rPr>
        <w:t>（一）收入预算</w:t>
      </w:r>
    </w:p>
    <w:p>
      <w:pPr>
        <w:widowControl/>
        <w:spacing w:line="560" w:lineRule="exact"/>
        <w:ind w:firstLine="630" w:firstLineChars="3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2024年收入预算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  <w:lang w:val="en-US" w:eastAsia="zh-CN"/>
        </w:rPr>
        <w:t>897.54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万元（详见部门/单位预算公开表1,2）。包括：一般公共预算收入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  <w:lang w:val="en-US" w:eastAsia="zh-CN"/>
        </w:rPr>
        <w:t>897.4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万元，占100%；</w:t>
      </w:r>
    </w:p>
    <w:p>
      <w:pPr>
        <w:adjustRightInd w:val="0"/>
        <w:snapToGrid w:val="0"/>
        <w:spacing w:line="640" w:lineRule="exact"/>
        <w:ind w:firstLine="420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 w:val="0"/>
          <w:bCs/>
          <w:i w:val="0"/>
          <w:color w:val="000000"/>
          <w:kern w:val="0"/>
          <w:sz w:val="21"/>
          <w:szCs w:val="32"/>
          <w:u w:val="none"/>
        </w:rPr>
        <w:t>（二）支出预算</w:t>
      </w:r>
    </w:p>
    <w:p>
      <w:pPr>
        <w:widowControl/>
        <w:adjustRightInd w:val="0"/>
        <w:snapToGrid w:val="0"/>
        <w:spacing w:line="640" w:lineRule="exact"/>
        <w:ind w:firstLine="630" w:firstLineChars="3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 xml:space="preserve">2024年支出预算 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  <w:lang w:val="en-US" w:eastAsia="zh-CN"/>
        </w:rPr>
        <w:t>897.54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万元（详见部门/单位预算公开表3）。</w:t>
      </w:r>
      <w:r>
        <w:rPr>
          <w:rStyle w:val="20"/>
          <w:rFonts w:hint="default" w:hAnsi="仿宋"/>
          <w:b w:val="0"/>
          <w:i w:val="0"/>
          <w:color w:val="000000"/>
          <w:sz w:val="21"/>
          <w:u w:val="none"/>
        </w:rPr>
        <w:t>其中：基本支出</w:t>
      </w:r>
      <w:r>
        <w:rPr>
          <w:rStyle w:val="20"/>
          <w:rFonts w:hint="eastAsia" w:hAnsi="仿宋" w:eastAsia="仿宋_GB2312"/>
          <w:b w:val="0"/>
          <w:i w:val="0"/>
          <w:color w:val="000000"/>
          <w:sz w:val="21"/>
          <w:u w:val="none"/>
          <w:lang w:val="en-US" w:eastAsia="zh-CN"/>
        </w:rPr>
        <w:t>897.54</w:t>
      </w:r>
      <w:r>
        <w:rPr>
          <w:rStyle w:val="20"/>
          <w:rFonts w:hint="default" w:hAnsi="仿宋"/>
          <w:b w:val="0"/>
          <w:i w:val="0"/>
          <w:color w:val="000000"/>
          <w:sz w:val="21"/>
          <w:u w:val="none"/>
        </w:rPr>
        <w:t>万元， 占100</w:t>
      </w:r>
      <w:r>
        <w:rPr>
          <w:rStyle w:val="21"/>
          <w:rFonts w:hint="eastAsia" w:ascii="仿宋_GB2312" w:hAnsi="仿宋" w:eastAsia="仿宋_GB2312"/>
          <w:b w:val="0"/>
          <w:i w:val="0"/>
          <w:color w:val="000000"/>
          <w:sz w:val="21"/>
          <w:u w:val="none"/>
        </w:rPr>
        <w:t>%</w:t>
      </w:r>
      <w:r>
        <w:rPr>
          <w:rStyle w:val="20"/>
          <w:rFonts w:hint="default" w:hAnsi="仿宋"/>
          <w:b w:val="0"/>
          <w:i w:val="0"/>
          <w:color w:val="000000"/>
          <w:sz w:val="21"/>
          <w:u w:val="none"/>
        </w:rPr>
        <w:t xml:space="preserve">； </w:t>
      </w:r>
    </w:p>
    <w:p>
      <w:pPr>
        <w:adjustRightInd w:val="0"/>
        <w:snapToGrid w:val="0"/>
        <w:spacing w:line="640" w:lineRule="exact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i w:val="0"/>
          <w:color w:val="000000"/>
          <w:kern w:val="0"/>
          <w:sz w:val="21"/>
          <w:szCs w:val="32"/>
          <w:u w:val="none"/>
        </w:rPr>
        <w:t>四、一般公共预算情况</w:t>
      </w:r>
    </w:p>
    <w:p>
      <w:pPr>
        <w:widowControl/>
        <w:adjustRightInd w:val="0"/>
        <w:snapToGrid w:val="0"/>
        <w:spacing w:line="640" w:lineRule="exact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Style w:val="21"/>
          <w:rFonts w:hint="eastAsia" w:ascii="仿宋_GB2312" w:hAnsi="仿宋" w:eastAsia="仿宋_GB2312"/>
          <w:b w:val="0"/>
          <w:i w:val="0"/>
          <w:color w:val="000000"/>
          <w:sz w:val="21"/>
          <w:u w:val="none"/>
        </w:rPr>
        <w:t xml:space="preserve">2024 </w:t>
      </w:r>
      <w:r>
        <w:rPr>
          <w:rStyle w:val="20"/>
          <w:rFonts w:hint="default" w:hAnsi="仿宋"/>
          <w:b w:val="0"/>
          <w:i w:val="0"/>
          <w:color w:val="000000"/>
          <w:sz w:val="21"/>
          <w:u w:val="none"/>
        </w:rPr>
        <w:t>年一般公共预算当年支出</w:t>
      </w:r>
      <w:r>
        <w:rPr>
          <w:rStyle w:val="20"/>
          <w:rFonts w:hint="eastAsia" w:hAnsi="仿宋" w:eastAsia="仿宋_GB2312"/>
          <w:b w:val="0"/>
          <w:i w:val="0"/>
          <w:color w:val="000000"/>
          <w:sz w:val="21"/>
          <w:u w:val="none"/>
          <w:lang w:val="en-US" w:eastAsia="zh-CN"/>
        </w:rPr>
        <w:t>897.54</w:t>
      </w:r>
      <w:r>
        <w:rPr>
          <w:rStyle w:val="20"/>
          <w:rFonts w:hint="default" w:hAnsi="仿宋"/>
          <w:b w:val="0"/>
          <w:i w:val="0"/>
          <w:color w:val="000000"/>
          <w:sz w:val="21"/>
          <w:u w:val="none"/>
        </w:rPr>
        <w:t>万元，包括：一般公共服务支出</w:t>
      </w:r>
      <w:r>
        <w:rPr>
          <w:rStyle w:val="20"/>
          <w:rFonts w:hint="eastAsia" w:hAnsi="仿宋" w:eastAsia="仿宋_GB2312"/>
          <w:b w:val="0"/>
          <w:i w:val="0"/>
          <w:color w:val="000000"/>
          <w:sz w:val="21"/>
          <w:u w:val="none"/>
          <w:lang w:val="en-US" w:eastAsia="zh-CN"/>
        </w:rPr>
        <w:t>897.54</w:t>
      </w:r>
      <w:r>
        <w:rPr>
          <w:rStyle w:val="20"/>
          <w:rFonts w:hint="default" w:hAnsi="仿宋"/>
          <w:b w:val="0"/>
          <w:i w:val="0"/>
          <w:color w:val="000000"/>
          <w:sz w:val="21"/>
          <w:u w:val="none"/>
        </w:rPr>
        <w:t>万元。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具体安排情况如下</w:t>
      </w:r>
      <w:r>
        <w:rPr>
          <w:rFonts w:hint="eastAsia" w:ascii="仿宋_GB2312" w:hAnsi="微软雅黑" w:eastAsia="仿宋_GB2312"/>
          <w:b w:val="0"/>
          <w:i w:val="0"/>
          <w:color w:val="000000"/>
          <w:sz w:val="21"/>
          <w:szCs w:val="32"/>
          <w:u w:val="none"/>
        </w:rPr>
        <w:t>（详见部门（单位）预算公开表4,5,6,7）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：</w:t>
      </w:r>
    </w:p>
    <w:p>
      <w:pPr>
        <w:spacing w:line="640" w:lineRule="exact"/>
        <w:ind w:firstLine="420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 w:val="0"/>
          <w:bCs/>
          <w:i w:val="0"/>
          <w:color w:val="000000"/>
          <w:kern w:val="0"/>
          <w:sz w:val="21"/>
          <w:szCs w:val="32"/>
          <w:u w:val="none"/>
        </w:rPr>
        <w:t>（一）基本支出</w:t>
      </w:r>
    </w:p>
    <w:p>
      <w:pPr>
        <w:widowControl/>
        <w:spacing w:line="640" w:lineRule="exact"/>
        <w:ind w:firstLine="42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2024年基本支出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  <w:lang w:val="en-US" w:eastAsia="zh-CN"/>
        </w:rPr>
        <w:t>897.54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万元，比2023年预算增加0万元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  <w:lang w:eastAsia="zh-CN"/>
        </w:rPr>
        <w:t>。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其中：人员经费支出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  <w:lang w:val="en-US" w:eastAsia="zh-CN"/>
        </w:rPr>
        <w:t>756.74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万元，主要包括：基本工资、津贴补贴、奖金、伙食补助费、绩效工资、机关事业单位基本养老保险缴费、职业年金缴费、职工基本医疗保险缴费、公务员医疗补助缴费、其他社会保障缴费、住房公积金、医疗费、其他工资福利支出、离休费、退休费、退职（役）费、抚恤金、生活补助、救济费、医疗费补助、助学金、奖励金、个人农业生产补贴、代缴社会保险费 、其他对个人和家庭的补助等。</w:t>
      </w:r>
    </w:p>
    <w:p>
      <w:pPr>
        <w:widowControl/>
        <w:adjustRightInd w:val="0"/>
        <w:snapToGrid w:val="0"/>
        <w:spacing w:line="640" w:lineRule="exact"/>
        <w:ind w:firstLine="42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公用经费支出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  <w:lang w:val="en-US" w:eastAsia="zh-CN"/>
        </w:rPr>
        <w:t>140.8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被装购置费、专用燃料费、劳务费、委托业务费、工会经费、福利费、公务用车运行维护费、其他交通费用、税金及附加费用、其他商品和服务支出、办公设备购置、专用设备购置等。</w:t>
      </w:r>
    </w:p>
    <w:p>
      <w:pPr>
        <w:adjustRightInd w:val="0"/>
        <w:snapToGrid w:val="0"/>
        <w:spacing w:line="640" w:lineRule="exact"/>
        <w:ind w:firstLine="420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 w:val="0"/>
          <w:bCs/>
          <w:i w:val="0"/>
          <w:color w:val="000000"/>
          <w:kern w:val="0"/>
          <w:sz w:val="21"/>
          <w:szCs w:val="32"/>
          <w:u w:val="none"/>
        </w:rPr>
        <w:t>（二）项目支出</w:t>
      </w:r>
    </w:p>
    <w:p>
      <w:pPr>
        <w:widowControl/>
        <w:adjustRightInd w:val="0"/>
        <w:snapToGrid w:val="0"/>
        <w:spacing w:line="640" w:lineRule="exact"/>
        <w:ind w:firstLine="420" w:firstLineChars="200"/>
        <w:contextualSpacing/>
        <w:jc w:val="left"/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  <w:lang w:eastAsia="zh-CN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 xml:space="preserve">2024年一般公共预算财政拨款项目支出预算 0万元，比2023年预算增加（减少）0万元，增长（减少）0 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  <w:lang w:eastAsia="zh-CN"/>
        </w:rPr>
        <w:t>。</w:t>
      </w:r>
    </w:p>
    <w:p>
      <w:pPr>
        <w:widowControl/>
        <w:adjustRightInd w:val="0"/>
        <w:snapToGrid w:val="0"/>
        <w:spacing w:line="640" w:lineRule="exact"/>
        <w:ind w:firstLine="420" w:firstLineChars="200"/>
        <w:contextualSpacing/>
        <w:jc w:val="left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 w:val="0"/>
          <w:bCs/>
          <w:i w:val="0"/>
          <w:color w:val="000000"/>
          <w:kern w:val="0"/>
          <w:sz w:val="21"/>
          <w:szCs w:val="32"/>
          <w:u w:val="none"/>
          <w:lang w:eastAsia="zh-CN"/>
        </w:rPr>
        <w:t>（三）</w:t>
      </w:r>
      <w:r>
        <w:rPr>
          <w:rFonts w:hint="eastAsia" w:ascii="楷体_GB2312" w:hAnsi="楷体" w:eastAsia="楷体_GB2312" w:cs="宋体"/>
          <w:b w:val="0"/>
          <w:bCs/>
          <w:i w:val="0"/>
          <w:color w:val="000000"/>
          <w:kern w:val="0"/>
          <w:sz w:val="21"/>
          <w:szCs w:val="32"/>
          <w:u w:val="none"/>
        </w:rPr>
        <w:t>支出功能分类说明</w:t>
      </w:r>
    </w:p>
    <w:p>
      <w:pPr>
        <w:widowControl/>
        <w:adjustRightInd w:val="0"/>
        <w:snapToGrid w:val="0"/>
        <w:spacing w:line="640" w:lineRule="exact"/>
        <w:ind w:firstLine="420" w:firstLineChars="200"/>
        <w:contextualSpacing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TimesNewRomanPS-BoldMT" w:eastAsia="仿宋_GB2312"/>
          <w:b w:val="0"/>
          <w:bCs/>
          <w:i w:val="0"/>
          <w:color w:val="000000"/>
          <w:sz w:val="21"/>
          <w:szCs w:val="32"/>
          <w:u w:val="none"/>
        </w:rPr>
        <w:t>1.</w:t>
      </w:r>
      <w:r>
        <w:rPr>
          <w:rFonts w:hint="eastAsia" w:ascii="仿宋_GB2312" w:eastAsia="仿宋_GB2312"/>
          <w:b w:val="0"/>
          <w:i w:val="0"/>
          <w:color w:val="000000"/>
          <w:sz w:val="21"/>
          <w:szCs w:val="32"/>
          <w:u w:val="none"/>
        </w:rPr>
        <w:t>一般公共服务（ 类） 纪检监察事务（ 款） 派驻派出机构（ 项）</w:t>
      </w:r>
      <w:r>
        <w:rPr>
          <w:rFonts w:hint="eastAsia" w:ascii="仿宋_GB2312" w:hAnsi="TimesNewRomanPSMT" w:eastAsia="仿宋_GB2312"/>
          <w:b w:val="0"/>
          <w:i w:val="0"/>
          <w:color w:val="000000"/>
          <w:sz w:val="21"/>
          <w:szCs w:val="32"/>
          <w:u w:val="none"/>
        </w:rPr>
        <w:t xml:space="preserve">2024 </w:t>
      </w:r>
      <w:r>
        <w:rPr>
          <w:rFonts w:hint="eastAsia" w:ascii="仿宋_GB2312" w:eastAsia="仿宋_GB2312"/>
          <w:b w:val="0"/>
          <w:i w:val="0"/>
          <w:color w:val="000000"/>
          <w:sz w:val="21"/>
          <w:szCs w:val="32"/>
          <w:u w:val="none"/>
        </w:rPr>
        <w:t>年预算数为</w:t>
      </w:r>
      <w:r>
        <w:rPr>
          <w:rFonts w:hint="eastAsia" w:ascii="仿宋_GB2312" w:hAnsi="TimesNewRomanPSMT" w:eastAsia="仿宋_GB2312"/>
          <w:b w:val="0"/>
          <w:i w:val="0"/>
          <w:color w:val="000000"/>
          <w:sz w:val="21"/>
          <w:szCs w:val="32"/>
          <w:u w:val="none"/>
        </w:rPr>
        <w:t>0</w:t>
      </w:r>
      <w:r>
        <w:rPr>
          <w:rFonts w:hint="eastAsia" w:ascii="仿宋_GB2312" w:eastAsia="仿宋_GB2312"/>
          <w:b w:val="0"/>
          <w:i w:val="0"/>
          <w:color w:val="000000"/>
          <w:sz w:val="21"/>
          <w:szCs w:val="32"/>
          <w:u w:val="none"/>
        </w:rPr>
        <w:t xml:space="preserve">万元， 比 </w:t>
      </w:r>
      <w:r>
        <w:rPr>
          <w:rFonts w:hint="eastAsia" w:ascii="仿宋_GB2312" w:hAnsi="TimesNewRomanPSMT" w:eastAsia="仿宋_GB2312"/>
          <w:b w:val="0"/>
          <w:i w:val="0"/>
          <w:color w:val="000000"/>
          <w:sz w:val="21"/>
          <w:szCs w:val="32"/>
          <w:u w:val="none"/>
        </w:rPr>
        <w:t xml:space="preserve">2023 </w:t>
      </w:r>
      <w:r>
        <w:rPr>
          <w:rFonts w:hint="eastAsia" w:ascii="仿宋_GB2312" w:eastAsia="仿宋_GB2312"/>
          <w:b w:val="0"/>
          <w:i w:val="0"/>
          <w:color w:val="000000"/>
          <w:sz w:val="21"/>
          <w:szCs w:val="32"/>
          <w:u w:val="none"/>
        </w:rPr>
        <w:t>年预算增加0万元</w:t>
      </w:r>
      <w:r>
        <w:rPr>
          <w:rFonts w:hint="eastAsia" w:ascii="仿宋_GB2312" w:eastAsia="仿宋_GB2312"/>
          <w:b w:val="0"/>
          <w:i w:val="0"/>
          <w:color w:val="000000"/>
          <w:sz w:val="21"/>
          <w:szCs w:val="32"/>
          <w:u w:val="none"/>
          <w:lang w:eastAsia="zh-CN"/>
        </w:rPr>
        <w:t>。</w:t>
      </w:r>
    </w:p>
    <w:p>
      <w:pPr>
        <w:adjustRightInd w:val="0"/>
        <w:snapToGrid w:val="0"/>
        <w:spacing w:line="640" w:lineRule="exact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i w:val="0"/>
          <w:color w:val="000000"/>
          <w:kern w:val="0"/>
          <w:sz w:val="21"/>
          <w:szCs w:val="32"/>
          <w:u w:val="none"/>
        </w:rPr>
        <w:t>五、部门（单位）一般公共预算财政拨款“三公”经费、培训费、会议费等情况</w:t>
      </w:r>
    </w:p>
    <w:p>
      <w:pPr>
        <w:adjustRightInd w:val="0"/>
        <w:snapToGrid w:val="0"/>
        <w:spacing w:line="640" w:lineRule="exact"/>
        <w:ind w:firstLine="420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 w:val="0"/>
          <w:bCs/>
          <w:i w:val="0"/>
          <w:color w:val="000000"/>
          <w:kern w:val="0"/>
          <w:sz w:val="21"/>
          <w:szCs w:val="32"/>
          <w:u w:val="none"/>
        </w:rPr>
        <w:t>（一）“三公”经费情况说明</w:t>
      </w:r>
    </w:p>
    <w:p>
      <w:pPr>
        <w:adjustRightInd w:val="0"/>
        <w:snapToGrid w:val="0"/>
        <w:spacing w:line="640" w:lineRule="exact"/>
        <w:contextualSpacing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“三公”经费预算 0万元，较2023年预算增加（减少） 0万元。</w:t>
      </w:r>
    </w:p>
    <w:p>
      <w:pPr>
        <w:widowControl/>
        <w:adjustRightInd w:val="0"/>
        <w:snapToGrid w:val="0"/>
        <w:spacing w:line="640" w:lineRule="exact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1.因公出国（境）费用0万元，较2023年预算增加（减少）0万元，增长（下降）0%。</w:t>
      </w:r>
    </w:p>
    <w:p>
      <w:pPr>
        <w:widowControl/>
        <w:adjustRightInd w:val="0"/>
        <w:snapToGrid w:val="0"/>
        <w:spacing w:line="640" w:lineRule="exact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2.公务接待费 0万元，较2023年预算增加（减少）0万元，增长（下降）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  <w:lang w:val="en-US" w:eastAsia="zh-CN"/>
        </w:rPr>
        <w:t>0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 xml:space="preserve"> %。</w:t>
      </w:r>
    </w:p>
    <w:p>
      <w:pPr>
        <w:widowControl/>
        <w:adjustRightInd w:val="0"/>
        <w:snapToGrid w:val="0"/>
        <w:spacing w:line="640" w:lineRule="exact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3.公务用车购置及运行维护费0万元（其中：公务用车购置0万元，公务用车运行维护费0万元），较2023年预算增加（减少）0万元，增长（下降）0%。</w:t>
      </w:r>
    </w:p>
    <w:p>
      <w:pPr>
        <w:adjustRightInd w:val="0"/>
        <w:snapToGrid w:val="0"/>
        <w:spacing w:line="640" w:lineRule="exact"/>
        <w:ind w:firstLine="420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 w:val="0"/>
          <w:bCs/>
          <w:i w:val="0"/>
          <w:color w:val="000000"/>
          <w:kern w:val="0"/>
          <w:sz w:val="21"/>
          <w:szCs w:val="32"/>
          <w:u w:val="none"/>
        </w:rPr>
        <w:t>（二）培训费预算情况说明</w:t>
      </w:r>
    </w:p>
    <w:p>
      <w:pPr>
        <w:widowControl/>
        <w:adjustRightInd w:val="0"/>
        <w:snapToGrid w:val="0"/>
        <w:spacing w:line="640" w:lineRule="exact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4.培训费0万元，较2023年预算增加（减少）0万元，增长（下降）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  <w:lang w:val="en-US" w:eastAsia="zh-CN"/>
        </w:rPr>
        <w:t>0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 xml:space="preserve"> %。</w:t>
      </w:r>
    </w:p>
    <w:p>
      <w:pPr>
        <w:adjustRightInd w:val="0"/>
        <w:snapToGrid w:val="0"/>
        <w:spacing w:line="640" w:lineRule="exact"/>
        <w:ind w:firstLine="420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 w:val="0"/>
          <w:bCs/>
          <w:i w:val="0"/>
          <w:color w:val="000000"/>
          <w:kern w:val="0"/>
          <w:sz w:val="21"/>
          <w:szCs w:val="32"/>
          <w:u w:val="none"/>
        </w:rPr>
        <w:t>（三）会议费预算情况说明</w:t>
      </w:r>
    </w:p>
    <w:p>
      <w:pPr>
        <w:widowControl/>
        <w:adjustRightInd w:val="0"/>
        <w:snapToGrid w:val="0"/>
        <w:spacing w:line="640" w:lineRule="exact"/>
        <w:contextualSpacing/>
        <w:jc w:val="left"/>
        <w:rPr>
          <w:rFonts w:ascii="仿宋_GB2312" w:eastAsia="仿宋_GB2312"/>
          <w:b w:val="0"/>
          <w:i w:val="0"/>
          <w:color w:val="000000"/>
          <w:sz w:val="21"/>
          <w:szCs w:val="32"/>
          <w:u w:val="none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5.会议费0万元，较2023年预算增加（减少）0万元，增长（下降）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  <w:lang w:val="en-US" w:eastAsia="zh-CN"/>
        </w:rPr>
        <w:t>0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 xml:space="preserve"> %。</w:t>
      </w:r>
    </w:p>
    <w:p>
      <w:pPr>
        <w:adjustRightInd w:val="0"/>
        <w:snapToGrid w:val="0"/>
        <w:spacing w:line="640" w:lineRule="exact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i w:val="0"/>
          <w:color w:val="000000"/>
          <w:kern w:val="0"/>
          <w:sz w:val="21"/>
          <w:szCs w:val="32"/>
          <w:u w:val="none"/>
        </w:rPr>
        <w:t>六、一般公共预算财政拨款机关运行经费情况</w:t>
      </w:r>
    </w:p>
    <w:p>
      <w:pPr>
        <w:widowControl/>
        <w:adjustRightInd w:val="0"/>
        <w:snapToGrid w:val="0"/>
        <w:spacing w:line="640" w:lineRule="exact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机关运行经费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  <w:lang w:val="en-US" w:eastAsia="zh-CN"/>
        </w:rPr>
        <w:t>60.8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万元，较2023年预算增加（减少）0万元，增长（下降）0%。</w:t>
      </w:r>
    </w:p>
    <w:p>
      <w:pPr>
        <w:adjustRightInd w:val="0"/>
        <w:snapToGrid w:val="0"/>
        <w:spacing w:line="640" w:lineRule="exact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i w:val="0"/>
          <w:color w:val="000000"/>
          <w:kern w:val="0"/>
          <w:sz w:val="21"/>
          <w:szCs w:val="32"/>
          <w:u w:val="none"/>
        </w:rPr>
        <w:t>七、政府采购安排情况</w:t>
      </w:r>
    </w:p>
    <w:p>
      <w:pPr>
        <w:widowControl/>
        <w:adjustRightInd w:val="0"/>
        <w:snapToGrid w:val="0"/>
        <w:spacing w:line="640" w:lineRule="exact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2024年，部门（单位）政府采购预算总额0万元，其中：政府采购货物预算 0万元，政府采购工程预算0万元，政府采购服务预算0万元。</w:t>
      </w:r>
    </w:p>
    <w:p>
      <w:pPr>
        <w:widowControl/>
        <w:adjustRightInd w:val="0"/>
        <w:snapToGrid w:val="0"/>
        <w:spacing w:line="640" w:lineRule="exact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2024年，部门（单位）面向中小企业预留政府采购项目预算金额  万元，小微企业预留政府采购项目预算金额0万元。</w:t>
      </w:r>
    </w:p>
    <w:p>
      <w:pPr>
        <w:adjustRightInd w:val="0"/>
        <w:snapToGrid w:val="0"/>
        <w:spacing w:line="640" w:lineRule="exact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i w:val="0"/>
          <w:color w:val="000000"/>
          <w:kern w:val="0"/>
          <w:sz w:val="21"/>
          <w:szCs w:val="32"/>
          <w:u w:val="none"/>
        </w:rPr>
        <w:t>八、国有资产占用情况</w:t>
      </w:r>
    </w:p>
    <w:p>
      <w:pPr>
        <w:widowControl/>
        <w:adjustRightInd w:val="0"/>
        <w:snapToGrid w:val="0"/>
        <w:spacing w:line="640" w:lineRule="exact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 xml:space="preserve">上年末固定资产金额为 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  <w:lang w:val="en-US" w:eastAsia="zh-CN"/>
        </w:rPr>
        <w:t>223.787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万元。其中：办公用房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  <w:lang w:val="en-US" w:eastAsia="zh-CN"/>
        </w:rPr>
        <w:t>663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平方米，价值0万元。单价20万元以上的设备价值 0万元。2024年拟采购固定资产约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  <w:lang w:val="en-US" w:eastAsia="zh-CN"/>
        </w:rPr>
        <w:t>15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万元。</w:t>
      </w:r>
    </w:p>
    <w:p>
      <w:pPr>
        <w:adjustRightInd w:val="0"/>
        <w:snapToGrid w:val="0"/>
        <w:spacing w:line="640" w:lineRule="exact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i w:val="0"/>
          <w:color w:val="000000"/>
          <w:kern w:val="0"/>
          <w:sz w:val="21"/>
          <w:szCs w:val="32"/>
          <w:u w:val="none"/>
        </w:rPr>
        <w:t>九、其他重要事项情况说明</w:t>
      </w:r>
    </w:p>
    <w:p>
      <w:pPr>
        <w:adjustRightInd w:val="0"/>
        <w:snapToGrid w:val="0"/>
        <w:spacing w:line="640" w:lineRule="exact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 w:val="0"/>
          <w:bCs/>
          <w:i w:val="0"/>
          <w:color w:val="000000"/>
          <w:kern w:val="0"/>
          <w:sz w:val="21"/>
          <w:szCs w:val="32"/>
          <w:u w:val="none"/>
        </w:rPr>
        <w:t>（一）政府性基金预算支出情况</w:t>
      </w:r>
    </w:p>
    <w:p>
      <w:pPr>
        <w:widowControl/>
        <w:adjustRightInd w:val="0"/>
        <w:snapToGrid w:val="0"/>
        <w:spacing w:line="640" w:lineRule="exact"/>
        <w:ind w:firstLine="42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2024年使用政府性基金预算拨款安排支出 0万元，较2023年预算增加（减少）0万元，增长（下降）0%。</w:t>
      </w:r>
    </w:p>
    <w:p>
      <w:pPr>
        <w:widowControl/>
        <w:adjustRightInd w:val="0"/>
        <w:snapToGrid w:val="0"/>
        <w:spacing w:line="640" w:lineRule="exact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1．交通运输支出（ 类） 民航发展基金支出（ 款） 民航安全（ 项）2024 年预算数为0万元，较2023 年预算减少0万元，主要原因是……。</w:t>
      </w:r>
    </w:p>
    <w:p>
      <w:pPr>
        <w:widowControl/>
        <w:adjustRightInd w:val="0"/>
        <w:snapToGrid w:val="0"/>
        <w:spacing w:line="640" w:lineRule="exact"/>
        <w:contextualSpacing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2.</w:t>
      </w:r>
      <w:r>
        <w:rPr>
          <w:rFonts w:hint="eastAsia" w:ascii="仿宋_GB2312" w:eastAsia="仿宋_GB2312"/>
          <w:b w:val="0"/>
          <w:i w:val="0"/>
          <w:color w:val="000000"/>
          <w:sz w:val="21"/>
          <w:szCs w:val="32"/>
          <w:u w:val="none"/>
        </w:rPr>
        <w:t>……</w:t>
      </w:r>
    </w:p>
    <w:p>
      <w:pPr>
        <w:widowControl/>
        <w:adjustRightInd w:val="0"/>
        <w:snapToGrid w:val="0"/>
        <w:spacing w:line="640" w:lineRule="exact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说明:如果2024年未安排政府性基金预算支出，请写成“未安排预算，政府性基金预算支出情况表为空表。”</w:t>
      </w:r>
    </w:p>
    <w:p>
      <w:pPr>
        <w:adjustRightInd w:val="0"/>
        <w:snapToGrid w:val="0"/>
        <w:spacing w:line="640" w:lineRule="exact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 w:val="0"/>
          <w:bCs/>
          <w:i w:val="0"/>
          <w:color w:val="000000"/>
          <w:kern w:val="0"/>
          <w:sz w:val="21"/>
          <w:szCs w:val="32"/>
          <w:u w:val="none"/>
        </w:rPr>
        <w:t>（二）非税收入情况</w:t>
      </w:r>
    </w:p>
    <w:p>
      <w:pPr>
        <w:adjustRightInd w:val="0"/>
        <w:snapToGrid w:val="0"/>
        <w:spacing w:line="640" w:lineRule="exact"/>
        <w:contextualSpacing/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  <w:lang w:eastAsia="zh-CN"/>
        </w:rPr>
        <w:t>本单位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  <w:lang w:val="en-US" w:eastAsia="zh-CN"/>
        </w:rPr>
        <w:t>2024年无非税收入</w:t>
      </w:r>
    </w:p>
    <w:p>
      <w:pPr>
        <w:adjustRightInd w:val="0"/>
        <w:snapToGrid w:val="0"/>
        <w:spacing w:line="640" w:lineRule="exact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 w:val="0"/>
          <w:bCs/>
          <w:i w:val="0"/>
          <w:color w:val="000000"/>
          <w:kern w:val="0"/>
          <w:sz w:val="21"/>
          <w:szCs w:val="32"/>
          <w:u w:val="none"/>
        </w:rPr>
        <w:t>（三）重点项目情况</w:t>
      </w:r>
    </w:p>
    <w:p>
      <w:pPr>
        <w:widowControl/>
        <w:adjustRightInd w:val="0"/>
        <w:snapToGrid w:val="0"/>
        <w:spacing w:line="640" w:lineRule="exact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本单位年初预算未安排项目支出，无重点项目说明。</w:t>
      </w:r>
    </w:p>
    <w:p>
      <w:pPr>
        <w:adjustRightInd w:val="0"/>
        <w:snapToGrid w:val="0"/>
        <w:spacing w:line="640" w:lineRule="exact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 w:val="0"/>
          <w:bCs/>
          <w:i w:val="0"/>
          <w:color w:val="000000"/>
          <w:kern w:val="0"/>
          <w:sz w:val="21"/>
          <w:szCs w:val="32"/>
          <w:u w:val="none"/>
        </w:rPr>
        <w:t>（四）国有资本经营预算支出情况</w:t>
      </w:r>
    </w:p>
    <w:p>
      <w:pPr>
        <w:widowControl/>
        <w:adjustRightInd w:val="0"/>
        <w:snapToGrid w:val="0"/>
        <w:spacing w:line="640" w:lineRule="exact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2024年使用国有资本经营预算拨款安排支出0万元，比2023年预算增加（减少）0万元，增长（下降）0%。</w:t>
      </w:r>
    </w:p>
    <w:p>
      <w:pPr>
        <w:widowControl/>
        <w:adjustRightInd w:val="0"/>
        <w:snapToGrid w:val="0"/>
        <w:spacing w:line="640" w:lineRule="exact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1.国有资本经营预算支出（ 类）解决历史遗留问题及改革成本支出（ 款）国有企业改革成本支出（项）2024 年预算数为0万元，较2023 年预算减少0万元。</w:t>
      </w:r>
    </w:p>
    <w:p>
      <w:pPr>
        <w:widowControl/>
        <w:adjustRightInd w:val="0"/>
        <w:snapToGrid w:val="0"/>
        <w:spacing w:line="640" w:lineRule="exact"/>
        <w:contextualSpacing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2.</w:t>
      </w:r>
      <w:r>
        <w:rPr>
          <w:rFonts w:hint="eastAsia" w:ascii="仿宋_GB2312" w:eastAsia="仿宋_GB2312"/>
          <w:b w:val="0"/>
          <w:i w:val="0"/>
          <w:color w:val="000000"/>
          <w:sz w:val="21"/>
          <w:szCs w:val="32"/>
          <w:u w:val="none"/>
        </w:rPr>
        <w:t>……</w:t>
      </w:r>
    </w:p>
    <w:p>
      <w:pPr>
        <w:widowControl/>
        <w:adjustRightInd w:val="0"/>
        <w:snapToGrid w:val="0"/>
        <w:spacing w:line="640" w:lineRule="exact"/>
        <w:contextualSpacing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b w:val="0"/>
          <w:i w:val="0"/>
          <w:color w:val="000000"/>
          <w:sz w:val="21"/>
          <w:szCs w:val="32"/>
          <w:u w:val="none"/>
        </w:rPr>
        <w:t>备注：1.分科目到项级进行说明，请参考一般公共预算和政府性基金的要求。2.如果 2024 年未安排国有资本经营预算支出，请写成“未安排预算，国有资本经营预算支出情况表为空表。”</w:t>
      </w:r>
    </w:p>
    <w:p>
      <w:pPr>
        <w:adjustRightInd w:val="0"/>
        <w:snapToGrid w:val="0"/>
        <w:spacing w:line="640" w:lineRule="exact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i w:val="0"/>
          <w:color w:val="000000"/>
          <w:kern w:val="0"/>
          <w:sz w:val="21"/>
          <w:szCs w:val="32"/>
          <w:u w:val="none"/>
        </w:rPr>
        <w:t>十、预算绩效管理情况</w:t>
      </w:r>
    </w:p>
    <w:p>
      <w:pPr>
        <w:adjustRightInd w:val="0"/>
        <w:snapToGrid w:val="0"/>
        <w:spacing w:line="640" w:lineRule="exact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 w:val="0"/>
          <w:bCs/>
          <w:i w:val="0"/>
          <w:color w:val="000000"/>
          <w:kern w:val="0"/>
          <w:sz w:val="21"/>
          <w:szCs w:val="32"/>
          <w:u w:val="none"/>
        </w:rPr>
        <w:t>（一）2023年预算绩效管理工作情况。</w:t>
      </w:r>
    </w:p>
    <w:p>
      <w:pPr>
        <w:widowControl/>
        <w:adjustRightInd w:val="0"/>
        <w:snapToGrid w:val="0"/>
        <w:spacing w:line="640" w:lineRule="exact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按照《中共中央 国务院关于全面实施预算绩效管理的意见》《中共甘肃省委 甘肃省人民政府关于全面实施预算绩效管理的实施意见》等相关要求，我们将绩效理念和方法融入预算编制、执行、决算和监督全过程认真开展各项工作。</w:t>
      </w:r>
    </w:p>
    <w:p>
      <w:pPr>
        <w:widowControl/>
        <w:adjustRightInd w:val="0"/>
        <w:snapToGrid w:val="0"/>
        <w:spacing w:line="640" w:lineRule="exact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1.绩效目标管理情况。2023年度，按照“谁申请资金，谁设置目标”的原则，纳入部门预算管理的</w:t>
      </w:r>
      <w:r>
        <w:rPr>
          <w:rFonts w:hint="eastAsia" w:ascii="仿宋_GB2312" w:hAnsi="CIDFont+F6" w:eastAsia="仿宋_GB2312"/>
          <w:b w:val="0"/>
          <w:i w:val="0"/>
          <w:color w:val="000000"/>
          <w:sz w:val="21"/>
          <w:szCs w:val="32"/>
          <w:u w:val="none"/>
        </w:rPr>
        <w:t>部门/单位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整体支出和项目绩效目标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  <w:lang w:val="en-US" w:eastAsia="zh-CN"/>
        </w:rPr>
        <w:t>1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个，按规定随年度预算一并公开项目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  <w:lang w:val="en-US" w:eastAsia="zh-CN"/>
        </w:rPr>
        <w:t>1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个，公开率为 100 %。</w:t>
      </w:r>
    </w:p>
    <w:p>
      <w:pPr>
        <w:widowControl/>
        <w:adjustRightInd w:val="0"/>
        <w:snapToGrid w:val="0"/>
        <w:spacing w:line="640" w:lineRule="exact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2.绩效运行监控情况。2023年7月，组织开展1-6月绩效运行监控项目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  <w:lang w:val="en-US" w:eastAsia="zh-CN"/>
        </w:rPr>
        <w:t>1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个，占本</w:t>
      </w:r>
      <w:r>
        <w:rPr>
          <w:rFonts w:hint="eastAsia" w:ascii="仿宋_GB2312" w:hAnsi="CIDFont+F6" w:eastAsia="仿宋_GB2312"/>
          <w:b w:val="0"/>
          <w:i w:val="0"/>
          <w:color w:val="000000"/>
          <w:sz w:val="21"/>
          <w:szCs w:val="32"/>
          <w:u w:val="none"/>
        </w:rPr>
        <w:t>部门/单位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 xml:space="preserve">项目的 100 %。截至7月底，如期完成预算执行和绩效目标指标值的项目 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  <w:lang w:val="en-US" w:eastAsia="zh-CN"/>
        </w:rPr>
        <w:t>1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 xml:space="preserve">个，完成率为100 %。“双监控”发现存在的问题和主要原因是：无。开展1-9月绩效运行监控项目 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  <w:lang w:val="en-US" w:eastAsia="zh-CN"/>
        </w:rPr>
        <w:t>1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个，占本部门（单位）项目的100%。截至10月底，如期完成预算执行和绩效目标指标值的项目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  <w:lang w:val="en-US" w:eastAsia="zh-CN"/>
        </w:rPr>
        <w:t>1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个，完成率为100 %。“双监控”发现存在的问题和主要原因是：无。绩效运行监控在部门内部通报整改情况：无</w:t>
      </w:r>
    </w:p>
    <w:p>
      <w:pPr>
        <w:widowControl/>
        <w:adjustRightInd w:val="0"/>
        <w:snapToGrid w:val="0"/>
        <w:spacing w:line="640" w:lineRule="exact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3.绩效自评开展情况。2023年度，组织开展绩效自评项目共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  <w:lang w:val="en-US" w:eastAsia="zh-CN"/>
        </w:rPr>
        <w:t>1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个，其中，部门（单位）整体支出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  <w:lang w:val="en-US" w:eastAsia="zh-CN"/>
        </w:rPr>
        <w:t>1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个，项目支出0个，转移支付项目0个，绩效自评覆盖率为100%。绩效自评结果随部门决算报送财政和随决算公开情况：已完成。</w:t>
      </w:r>
    </w:p>
    <w:p>
      <w:pPr>
        <w:widowControl/>
        <w:adjustRightInd w:val="0"/>
        <w:snapToGrid w:val="0"/>
        <w:spacing w:line="640" w:lineRule="exact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4.绩效结果应用情况。根据2023年度绩效运行监控、绩效自评等情况，当年盘活财政资金0万元，2024年度增加（减少）部门预算项目 0个，增长率/压减率0 %。同时对政策和项目资金管理作出调整的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  <w:lang w:val="en-US" w:eastAsia="zh-CN"/>
        </w:rPr>
        <w:t>0</w:t>
      </w: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个。</w:t>
      </w:r>
    </w:p>
    <w:p>
      <w:pPr>
        <w:adjustRightInd w:val="0"/>
        <w:snapToGrid w:val="0"/>
        <w:spacing w:line="640" w:lineRule="exact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 w:val="0"/>
          <w:bCs/>
          <w:i w:val="0"/>
          <w:color w:val="000000"/>
          <w:kern w:val="0"/>
          <w:sz w:val="21"/>
          <w:szCs w:val="32"/>
          <w:u w:val="none"/>
        </w:rPr>
        <w:t>（二）2024年绩效目标编制情况</w:t>
      </w:r>
    </w:p>
    <w:p>
      <w:pPr>
        <w:widowControl/>
        <w:adjustRightInd w:val="0"/>
        <w:snapToGrid w:val="0"/>
        <w:spacing w:line="640" w:lineRule="exact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i w:val="0"/>
          <w:color w:val="000000"/>
          <w:sz w:val="21"/>
          <w:szCs w:val="32"/>
          <w:u w:val="none"/>
        </w:rPr>
        <w:t>2024年，纳入部门/单位预算绩效目标管理的项目1个。其中，部门整体支出绩效目标围绕部门管理、履职效果、能力建设三个维度，设置二级指标 3个、三级指标3个；项目支出绩效目标围绕成本指标、产出指标、效益指标、满意度指标四个维度，设置二级指标3个、三级指标3个。各项绩效目标内容指向明确、细化量化、合理可行，符合规定的格式要求。</w:t>
      </w:r>
    </w:p>
    <w:p>
      <w:pPr>
        <w:adjustRightInd w:val="0"/>
        <w:snapToGrid w:val="0"/>
        <w:spacing w:line="640" w:lineRule="exact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 w:val="0"/>
          <w:bCs/>
          <w:i w:val="0"/>
          <w:color w:val="000000"/>
          <w:kern w:val="0"/>
          <w:sz w:val="21"/>
          <w:szCs w:val="32"/>
          <w:u w:val="none"/>
        </w:rPr>
        <w:t>十一、名词解释</w:t>
      </w:r>
    </w:p>
    <w:p>
      <w:pPr>
        <w:adjustRightInd w:val="0"/>
        <w:snapToGrid w:val="0"/>
        <w:spacing w:line="640" w:lineRule="exact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 w:val="0"/>
          <w:i w:val="0"/>
          <w:color w:val="000000"/>
          <w:sz w:val="21"/>
          <w:szCs w:val="32"/>
          <w:u w:val="none"/>
        </w:rPr>
        <w:t>1、财政拨款:</w:t>
      </w:r>
      <w:r>
        <w:rPr>
          <w:rFonts w:hint="eastAsia" w:ascii="仿宋_GB2312" w:hAnsi="CIDFont+F6" w:eastAsia="仿宋_GB2312"/>
          <w:b w:val="0"/>
          <w:i w:val="0"/>
          <w:color w:val="000000"/>
          <w:sz w:val="21"/>
          <w:szCs w:val="32"/>
          <w:u w:val="none"/>
        </w:rPr>
        <w:t>指由一般公共预算、政府性基金预算、国有资本经营预算安排的财政拨款数。</w:t>
      </w:r>
    </w:p>
    <w:p>
      <w:pPr>
        <w:adjustRightInd w:val="0"/>
        <w:snapToGrid w:val="0"/>
        <w:spacing w:line="640" w:lineRule="exact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 w:val="0"/>
          <w:i w:val="0"/>
          <w:color w:val="000000"/>
          <w:sz w:val="21"/>
          <w:szCs w:val="32"/>
          <w:u w:val="none"/>
        </w:rPr>
        <w:t>2、一般公共预算:</w:t>
      </w:r>
      <w:r>
        <w:rPr>
          <w:rFonts w:hint="eastAsia" w:ascii="仿宋_GB2312" w:hAnsi="CIDFont+F6" w:eastAsia="仿宋_GB2312"/>
          <w:b w:val="0"/>
          <w:i w:val="0"/>
          <w:color w:val="000000"/>
          <w:sz w:val="21"/>
          <w:szCs w:val="32"/>
          <w:u w:val="none"/>
        </w:rPr>
        <w:t>包括公共财政拨款（补助）资金、专项收入。</w:t>
      </w:r>
    </w:p>
    <w:p>
      <w:pPr>
        <w:adjustRightInd w:val="0"/>
        <w:snapToGrid w:val="0"/>
        <w:spacing w:line="640" w:lineRule="exact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 w:val="0"/>
          <w:i w:val="0"/>
          <w:color w:val="000000"/>
          <w:sz w:val="21"/>
          <w:szCs w:val="32"/>
          <w:u w:val="none"/>
        </w:rPr>
        <w:t>3、财政专户管理资金:</w:t>
      </w:r>
      <w:r>
        <w:rPr>
          <w:rFonts w:hint="eastAsia" w:ascii="仿宋_GB2312" w:hAnsi="CIDFont+F6" w:eastAsia="仿宋_GB2312"/>
          <w:b w:val="0"/>
          <w:i w:val="0"/>
          <w:color w:val="000000"/>
          <w:sz w:val="21"/>
          <w:szCs w:val="32"/>
          <w:u w:val="none"/>
        </w:rPr>
        <w:t>包括专户管理行政事业性收费（主要是教育收费）、其他非税收入。</w:t>
      </w:r>
    </w:p>
    <w:p>
      <w:pPr>
        <w:adjustRightInd w:val="0"/>
        <w:snapToGrid w:val="0"/>
        <w:spacing w:line="640" w:lineRule="exact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 w:val="0"/>
          <w:i w:val="0"/>
          <w:color w:val="000000"/>
          <w:sz w:val="21"/>
          <w:szCs w:val="32"/>
          <w:u w:val="none"/>
        </w:rPr>
        <w:t>4、其他资金:</w:t>
      </w:r>
      <w:r>
        <w:rPr>
          <w:rFonts w:hint="eastAsia" w:ascii="仿宋_GB2312" w:hAnsi="CIDFont+F6" w:eastAsia="仿宋_GB2312"/>
          <w:b w:val="0"/>
          <w:i w:val="0"/>
          <w:color w:val="000000"/>
          <w:sz w:val="21"/>
          <w:szCs w:val="32"/>
          <w:u w:val="none"/>
        </w:rPr>
        <w:t>包括事业收入、事业经营收入、其他收入等。</w:t>
      </w:r>
    </w:p>
    <w:p>
      <w:pPr>
        <w:adjustRightInd w:val="0"/>
        <w:snapToGrid w:val="0"/>
        <w:spacing w:line="640" w:lineRule="exact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 w:val="0"/>
          <w:i w:val="0"/>
          <w:color w:val="000000"/>
          <w:sz w:val="21"/>
          <w:szCs w:val="32"/>
          <w:u w:val="none"/>
        </w:rPr>
        <w:t>5、基本支出:</w:t>
      </w:r>
      <w:r>
        <w:rPr>
          <w:rFonts w:hint="eastAsia" w:ascii="仿宋_GB2312" w:hAnsi="CIDFont+F6" w:eastAsia="仿宋_GB2312"/>
          <w:b w:val="0"/>
          <w:i w:val="0"/>
          <w:color w:val="000000"/>
          <w:sz w:val="21"/>
          <w:szCs w:val="32"/>
          <w:u w:val="none"/>
        </w:rPr>
        <w:t>包括人员经费、公用经费（定额）。其中，人员经费包括工资福利支出、对个人和家庭的补助。</w:t>
      </w:r>
    </w:p>
    <w:p>
      <w:pPr>
        <w:adjustRightInd w:val="0"/>
        <w:snapToGrid w:val="0"/>
        <w:spacing w:line="640" w:lineRule="exact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 w:val="0"/>
          <w:i w:val="0"/>
          <w:color w:val="000000"/>
          <w:sz w:val="21"/>
          <w:szCs w:val="32"/>
          <w:u w:val="none"/>
        </w:rPr>
        <w:t>6、项目支出:</w:t>
      </w:r>
      <w:r>
        <w:rPr>
          <w:rFonts w:hint="eastAsia" w:ascii="仿宋_GB2312" w:hAnsi="CIDFont+F6" w:eastAsia="仿宋_GB2312"/>
          <w:b w:val="0"/>
          <w:i w:val="0"/>
          <w:color w:val="000000"/>
          <w:sz w:val="21"/>
          <w:szCs w:val="32"/>
          <w:u w:val="none"/>
        </w:rPr>
        <w:t>部门（单位）支出预算的组成部分，是各部门（单位）为完成其特定的行政任务或事业发展目标，在基本支出预算之外编制的年度项目支出计划。</w:t>
      </w:r>
    </w:p>
    <w:p>
      <w:pPr>
        <w:adjustRightInd w:val="0"/>
        <w:snapToGrid w:val="0"/>
        <w:spacing w:line="640" w:lineRule="exact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 w:val="0"/>
          <w:i w:val="0"/>
          <w:color w:val="000000"/>
          <w:sz w:val="21"/>
          <w:szCs w:val="32"/>
          <w:u w:val="none"/>
        </w:rPr>
        <w:t>7、“三公”经费:</w:t>
      </w:r>
      <w:r>
        <w:rPr>
          <w:rFonts w:hint="eastAsia" w:ascii="仿宋_GB2312" w:hAnsi="CIDFont+F6" w:eastAsia="仿宋_GB2312"/>
          <w:b w:val="0"/>
          <w:i w:val="0"/>
          <w:color w:val="000000"/>
          <w:sz w:val="21"/>
          <w:szCs w:val="32"/>
          <w:u w:val="none"/>
        </w:rPr>
        <w:t>指因公出国（境）费、公务用车购置及运行维护费和公务接待费。其中，因公出国（境）费反映单位公务出国（境）的国际旅费、国外城市间交通费、住宿费、伙食费、培训费、公杂费等支出；公务用车运行维护费反映单位按规定保留的公务用车租用费、燃料费、维修费、过路过桥费、保险费、安全奖励费用等支出；公务接待费反映单位按规定开支的各类公务接待（含外宾接待）支出。</w:t>
      </w:r>
    </w:p>
    <w:p>
      <w:pPr>
        <w:adjustRightInd w:val="0"/>
        <w:snapToGrid w:val="0"/>
        <w:spacing w:line="640" w:lineRule="exact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 w:val="0"/>
          <w:i w:val="0"/>
          <w:color w:val="000000"/>
          <w:sz w:val="21"/>
          <w:szCs w:val="32"/>
          <w:u w:val="none"/>
        </w:rPr>
        <w:t>8、机关运行经费:</w:t>
      </w:r>
      <w:r>
        <w:rPr>
          <w:rFonts w:hint="eastAsia" w:ascii="仿宋_GB2312" w:hAnsi="CIDFont+F6" w:eastAsia="仿宋_GB2312"/>
          <w:b w:val="0"/>
          <w:i w:val="0"/>
          <w:color w:val="000000"/>
          <w:sz w:val="21"/>
          <w:szCs w:val="32"/>
          <w:u w:val="none"/>
        </w:rPr>
        <w:t>为保障行政单位（包括实行公务员管理的事业单位）运行用于购买货物和服务的各项资金，包括办公及印刷费、邮电费、差旅费、会议费、福利费、日常维修费、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640" w:lineRule="exact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 w:val="0"/>
          <w:i w:val="0"/>
          <w:color w:val="000000"/>
          <w:sz w:val="21"/>
          <w:szCs w:val="32"/>
          <w:u w:val="none"/>
        </w:rPr>
        <w:t>……</w:t>
      </w:r>
    </w:p>
    <w:p>
      <w:pPr>
        <w:adjustRightInd w:val="0"/>
        <w:snapToGrid w:val="0"/>
        <w:spacing w:line="640" w:lineRule="exact"/>
        <w:contextualSpacing/>
        <w:rPr>
          <w:rFonts w:hint="eastAsia" w:ascii="仿宋_GB2312" w:hAnsi="CIDFont+F6" w:eastAsia="仿宋_GB2312"/>
          <w:b w:val="0"/>
          <w:i w:val="0"/>
          <w:color w:val="000000"/>
          <w:sz w:val="21"/>
          <w:szCs w:val="32"/>
          <w:u w:val="none"/>
        </w:rPr>
      </w:pPr>
    </w:p>
    <w:p>
      <w:pPr>
        <w:adjustRightInd w:val="0"/>
        <w:snapToGrid w:val="0"/>
        <w:spacing w:line="640" w:lineRule="exact"/>
        <w:contextualSpacing/>
        <w:rPr>
          <w:rFonts w:hint="eastAsia" w:ascii="仿宋_GB2312" w:hAnsi="CIDFont+F4" w:eastAsia="仿宋_GB2312"/>
          <w:b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 w:val="0"/>
          <w:i w:val="0"/>
          <w:color w:val="000000"/>
          <w:sz w:val="21"/>
          <w:szCs w:val="32"/>
          <w:u w:val="none"/>
        </w:rPr>
        <w:t>（请部门/单位对编制中涉及的专业名词进行补充解释）</w:t>
      </w:r>
    </w:p>
    <w:p>
      <w:pPr>
        <w:adjustRightInd w:val="0"/>
        <w:snapToGrid w:val="0"/>
        <w:spacing w:line="640" w:lineRule="exact"/>
        <w:contextualSpacing/>
        <w:rPr>
          <w:rFonts w:hint="eastAsia" w:ascii="仿宋_GB2312" w:hAnsi="CIDFont+F6" w:eastAsia="仿宋_GB2312"/>
          <w:b w:val="0"/>
          <w:i w:val="0"/>
          <w:color w:val="000000"/>
          <w:sz w:val="21"/>
          <w:szCs w:val="32"/>
          <w:u w:val="none"/>
        </w:rPr>
      </w:pPr>
    </w:p>
    <w:p>
      <w:pPr>
        <w:adjustRightInd w:val="0"/>
        <w:snapToGrid w:val="0"/>
        <w:spacing w:line="640" w:lineRule="exact"/>
        <w:contextualSpacing/>
        <w:rPr>
          <w:rFonts w:hint="eastAsia" w:ascii="仿宋_GB2312" w:hAnsi="CIDFont+F6" w:eastAsia="仿宋_GB2312"/>
          <w:b w:val="0"/>
          <w:i w:val="0"/>
          <w:color w:val="000000"/>
          <w:sz w:val="21"/>
          <w:szCs w:val="32"/>
          <w:u w:val="none"/>
        </w:rPr>
      </w:pPr>
    </w:p>
    <w:p>
      <w:pPr>
        <w:adjustRightInd w:val="0"/>
        <w:snapToGrid w:val="0"/>
        <w:spacing w:line="640" w:lineRule="exact"/>
        <w:ind w:right="960"/>
        <w:contextualSpacing/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CIDFont+F6" w:eastAsia="仿宋_GB2312"/>
          <w:b w:val="0"/>
          <w:i w:val="0"/>
          <w:color w:val="000000"/>
          <w:sz w:val="21"/>
          <w:szCs w:val="32"/>
          <w:u w:val="none"/>
        </w:rPr>
        <w:t>积石山县</w:t>
      </w:r>
      <w:r>
        <w:rPr>
          <w:rFonts w:hint="eastAsia" w:ascii="仿宋_GB2312" w:hAnsi="CIDFont+F6" w:eastAsia="仿宋_GB2312"/>
          <w:b w:val="0"/>
          <w:i w:val="0"/>
          <w:color w:val="000000"/>
          <w:sz w:val="21"/>
          <w:szCs w:val="32"/>
          <w:u w:val="none"/>
          <w:lang w:eastAsia="zh-CN"/>
        </w:rPr>
        <w:t>政协办公室</w:t>
      </w:r>
    </w:p>
    <w:p>
      <w:pPr>
        <w:adjustRightInd w:val="0"/>
        <w:snapToGrid w:val="0"/>
        <w:spacing w:line="640" w:lineRule="exact"/>
        <w:ind w:right="112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IDFont+F6" w:eastAsia="仿宋_GB2312"/>
          <w:b w:val="0"/>
          <w:i w:val="0"/>
          <w:color w:val="000000"/>
          <w:sz w:val="21"/>
          <w:szCs w:val="32"/>
          <w:u w:val="none"/>
        </w:rPr>
        <w:t>2024年</w:t>
      </w:r>
      <w:r>
        <w:rPr>
          <w:rFonts w:hint="eastAsia" w:ascii="仿宋_GB2312" w:hAnsi="CIDFont+F6" w:eastAsia="仿宋_GB2312"/>
          <w:b w:val="0"/>
          <w:i w:val="0"/>
          <w:color w:val="000000"/>
          <w:sz w:val="21"/>
          <w:szCs w:val="32"/>
          <w:u w:val="none"/>
          <w:lang w:val="en-US" w:eastAsia="zh-CN"/>
        </w:rPr>
        <w:t>3</w:t>
      </w:r>
      <w:r>
        <w:rPr>
          <w:rFonts w:hint="eastAsia" w:ascii="仿宋_GB2312" w:hAnsi="CIDFont+F6" w:eastAsia="仿宋_GB2312"/>
          <w:b w:val="0"/>
          <w:i w:val="0"/>
          <w:color w:val="000000"/>
          <w:sz w:val="21"/>
          <w:szCs w:val="32"/>
          <w:u w:val="none"/>
        </w:rPr>
        <w:t xml:space="preserve">月 </w:t>
      </w:r>
      <w:r>
        <w:rPr>
          <w:rFonts w:hint="eastAsia" w:ascii="仿宋_GB2312" w:hAnsi="CIDFont+F6" w:eastAsia="仿宋_GB2312"/>
          <w:b w:val="0"/>
          <w:i w:val="0"/>
          <w:color w:val="000000"/>
          <w:sz w:val="21"/>
          <w:szCs w:val="32"/>
          <w:u w:val="none"/>
          <w:lang w:val="en-US" w:eastAsia="zh-CN"/>
        </w:rPr>
        <w:t>8</w:t>
      </w:r>
      <w:r>
        <w:rPr>
          <w:rFonts w:hint="eastAsia" w:ascii="仿宋_GB2312" w:hAnsi="CIDFont+F6" w:eastAsia="仿宋_GB2312"/>
          <w:b w:val="0"/>
          <w:i w:val="0"/>
          <w:color w:val="000000"/>
          <w:sz w:val="21"/>
          <w:szCs w:val="32"/>
          <w:u w:val="none"/>
        </w:rPr>
        <w:t>日</w:t>
      </w:r>
    </w:p>
    <w:p>
      <w:pPr>
        <w:adjustRightInd w:val="0"/>
        <w:snapToGrid w:val="0"/>
        <w:spacing w:line="640" w:lineRule="exact"/>
        <w:contextualSpacing/>
        <w:rPr>
          <w:rFonts w:ascii="仿宋_GB2312" w:hAnsi="宋体" w:eastAsia="仿宋_GB2312" w:cs="宋体"/>
          <w:b w:val="0"/>
          <w:i w:val="0"/>
          <w:color w:val="000000"/>
          <w:kern w:val="0"/>
          <w:sz w:val="21"/>
          <w:szCs w:val="32"/>
          <w:u w:val="none"/>
        </w:rPr>
      </w:pPr>
    </w:p>
    <w:p>
      <w:pPr>
        <w:adjustRightInd w:val="0"/>
        <w:snapToGrid w:val="0"/>
        <w:spacing w:line="640" w:lineRule="exact"/>
        <w:contextualSpacing/>
        <w:rPr>
          <w:rFonts w:ascii="仿宋_GB2312" w:hAnsi="宋体" w:eastAsia="仿宋_GB2312" w:cs="宋体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i w:val="0"/>
          <w:color w:val="000000"/>
          <w:kern w:val="0"/>
          <w:sz w:val="21"/>
          <w:szCs w:val="32"/>
          <w:u w:val="none"/>
        </w:rPr>
        <w:t>附件：</w:t>
      </w:r>
      <w:r>
        <w:rPr>
          <w:rFonts w:hint="eastAsia" w:ascii="仿宋_GB2312" w:hAnsi="宋体" w:eastAsia="仿宋_GB2312" w:cs="宋体"/>
          <w:b w:val="0"/>
          <w:i w:val="0"/>
          <w:color w:val="000000"/>
          <w:spacing w:val="-20"/>
          <w:kern w:val="0"/>
          <w:sz w:val="21"/>
          <w:szCs w:val="32"/>
          <w:u w:val="none"/>
        </w:rPr>
        <w:t>1.积石山县应急管理局2024年</w:t>
      </w:r>
      <w:r>
        <w:rPr>
          <w:rFonts w:hint="eastAsia" w:ascii="仿宋_GB2312" w:hAnsi="CIDFont+F6" w:eastAsia="仿宋_GB2312"/>
          <w:b w:val="0"/>
          <w:i w:val="0"/>
          <w:color w:val="000000"/>
          <w:sz w:val="21"/>
          <w:szCs w:val="32"/>
          <w:u w:val="none"/>
        </w:rPr>
        <w:t>部门</w:t>
      </w:r>
      <w:r>
        <w:rPr>
          <w:rFonts w:hint="eastAsia" w:ascii="仿宋_GB2312" w:hAnsi="宋体" w:eastAsia="仿宋_GB2312" w:cs="宋体"/>
          <w:b w:val="0"/>
          <w:i w:val="0"/>
          <w:color w:val="000000"/>
          <w:spacing w:val="-20"/>
          <w:kern w:val="0"/>
          <w:sz w:val="21"/>
          <w:szCs w:val="32"/>
          <w:u w:val="none"/>
        </w:rPr>
        <w:t>预算公开表</w:t>
      </w:r>
    </w:p>
    <w:p>
      <w:pPr>
        <w:adjustRightInd w:val="0"/>
        <w:snapToGrid w:val="0"/>
        <w:spacing w:line="640" w:lineRule="exact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i w:val="0"/>
          <w:color w:val="000000"/>
          <w:kern w:val="0"/>
          <w:sz w:val="21"/>
          <w:szCs w:val="32"/>
          <w:u w:val="none"/>
        </w:rPr>
        <w:t>2.</w:t>
      </w:r>
      <w:r>
        <w:rPr>
          <w:rFonts w:hint="eastAsia" w:ascii="仿宋_GB2312" w:hAnsi="宋体" w:eastAsia="仿宋_GB2312" w:cs="宋体"/>
          <w:b w:val="0"/>
          <w:i w:val="0"/>
          <w:color w:val="000000"/>
          <w:spacing w:val="-20"/>
          <w:kern w:val="0"/>
          <w:sz w:val="21"/>
          <w:szCs w:val="32"/>
          <w:u w:val="none"/>
        </w:rPr>
        <w:t xml:space="preserve"> 积石山县应急管理局</w:t>
      </w:r>
      <w:r>
        <w:rPr>
          <w:rFonts w:hint="eastAsia" w:ascii="仿宋_GB2312" w:hAnsi="宋体" w:eastAsia="仿宋_GB2312" w:cs="宋体"/>
          <w:b w:val="0"/>
          <w:i w:val="0"/>
          <w:color w:val="000000"/>
          <w:kern w:val="0"/>
          <w:sz w:val="21"/>
          <w:szCs w:val="32"/>
          <w:u w:val="none"/>
        </w:rPr>
        <w:t>2024年</w:t>
      </w:r>
      <w:r>
        <w:rPr>
          <w:rFonts w:hint="eastAsia" w:ascii="仿宋_GB2312" w:hAnsi="CIDFont+F6" w:eastAsia="仿宋_GB2312"/>
          <w:b w:val="0"/>
          <w:i w:val="0"/>
          <w:color w:val="000000"/>
          <w:sz w:val="21"/>
          <w:szCs w:val="32"/>
          <w:u w:val="none"/>
        </w:rPr>
        <w:t>部门</w:t>
      </w:r>
      <w:r>
        <w:rPr>
          <w:rFonts w:hint="eastAsia" w:ascii="仿宋_GB2312" w:hAnsi="宋体" w:eastAsia="仿宋_GB2312" w:cs="宋体"/>
          <w:b w:val="0"/>
          <w:i w:val="0"/>
          <w:color w:val="000000"/>
          <w:kern w:val="0"/>
          <w:sz w:val="21"/>
          <w:szCs w:val="32"/>
          <w:u w:val="none"/>
        </w:rPr>
        <w:t>整体支出绩效目标及预算项目绩效目标表</w:t>
      </w:r>
    </w:p>
    <w:p>
      <w:pPr>
        <w:adjustRightInd w:val="0"/>
        <w:snapToGrid w:val="0"/>
        <w:spacing w:line="640" w:lineRule="exact"/>
        <w:contextualSpacing/>
        <w:rPr>
          <w:rFonts w:ascii="宋体" w:hAnsi="宋体"/>
          <w:b/>
        </w:rPr>
      </w:pPr>
      <w:r>
        <w:rPr>
          <w:rFonts w:hint="eastAsia" w:ascii="黑体" w:eastAsia="黑体"/>
          <w:b w:val="0"/>
          <w:i w:val="0"/>
          <w:color w:val="000000"/>
          <w:sz w:val="21"/>
          <w:szCs w:val="30"/>
          <w:u w:val="none"/>
        </w:rPr>
        <w:br w:type="page"/>
      </w:r>
      <w:r>
        <w:rPr>
          <w:rFonts w:hint="eastAsia" w:ascii="黑体" w:eastAsia="黑体"/>
          <w:b w:val="0"/>
          <w:i w:val="0"/>
          <w:color w:val="000000"/>
          <w:sz w:val="21"/>
          <w:szCs w:val="30"/>
          <w:u w:val="none"/>
        </w:rPr>
        <w:t>附件1</w:t>
      </w:r>
    </w:p>
    <w:p>
      <w:pPr>
        <w:spacing w:line="36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i w:val="0"/>
          <w:color w:val="000000"/>
          <w:kern w:val="0"/>
          <w:sz w:val="21"/>
          <w:szCs w:val="32"/>
          <w:u w:val="none"/>
        </w:rPr>
        <w:t>表一、</w:t>
      </w:r>
      <w:r>
        <w:rPr>
          <w:rFonts w:hint="eastAsia" w:ascii="仿宋_GB2312" w:hAnsi="CIDFont+F6" w:eastAsia="仿宋_GB2312"/>
          <w:b w:val="0"/>
          <w:i w:val="0"/>
          <w:color w:val="000000"/>
          <w:sz w:val="21"/>
          <w:szCs w:val="32"/>
          <w:u w:val="none"/>
        </w:rPr>
        <w:t>部门/单位</w:t>
      </w:r>
      <w:r>
        <w:rPr>
          <w:rFonts w:hint="eastAsia" w:ascii="仿宋_GB2312" w:hAnsi="宋体" w:eastAsia="仿宋_GB2312" w:cs="宋体"/>
          <w:b w:val="0"/>
          <w:i w:val="0"/>
          <w:color w:val="000000"/>
          <w:kern w:val="0"/>
          <w:sz w:val="21"/>
          <w:szCs w:val="32"/>
          <w:u w:val="none"/>
        </w:rPr>
        <w:t>收支总体情况表</w:t>
      </w:r>
    </w:p>
    <w:tbl>
      <w:tblPr>
        <w:tblStyle w:val="8"/>
        <w:tblpPr w:leftFromText="180" w:rightFromText="180" w:vertAnchor="text" w:horzAnchor="page" w:tblpX="1285" w:tblpY="342"/>
        <w:tblOverlap w:val="never"/>
        <w:tblW w:w="96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1600"/>
        <w:gridCol w:w="3236"/>
        <w:gridCol w:w="1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收     入</w:t>
            </w:r>
          </w:p>
        </w:tc>
        <w:tc>
          <w:tcPr>
            <w:tcW w:w="4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预算数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项目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一、一般公共预算财政拨款收入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  <w:lang w:val="en-US" w:eastAsia="zh-CN"/>
              </w:rPr>
              <w:t>897.54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一、一般公共服务支出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595959"/>
                <w:kern w:val="0"/>
                <w:sz w:val="21"/>
                <w:szCs w:val="21"/>
                <w:u w:val="none"/>
                <w:lang w:val="en-US" w:eastAsia="zh-CN" w:bidi="ar"/>
              </w:rPr>
              <w:t>897.54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二、政府性基金预算财政拨款收入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二、外交支出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三、国有资本经营预算收入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三、国防支出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四、教育专户核算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四、公共安全支出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五、事业收入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五、教育支出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六、上级补助收入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六、科学技术支出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七、附属单位上缴收入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七、文化旅游体育与传媒支出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八、经营收入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八、社会保障和就业支出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九、其他收入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九、社会保险基金支出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十、卫生健康支出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十一、节能环保支出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十二、城乡社区支出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十三、农林水支出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十四、交通运输支出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十五、资源勘探工业信息等支出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十六、商业服务业等支出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十七、金融支出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十八、援助其他地区支出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十九、自然资源海洋气象等支出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二十、住房保障支出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二十一、粮油物资储备支出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二十二、国有资本经营预算支出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二十三、灾害防治及应急管理支出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二十四、预备费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二十五、其他支出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二十六、转移性支出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二十七、债务还本支出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二十八、债务付息支出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二十九、债务发行费用支出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三十、抗疫特别国债还本支出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本年收入合计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本年支出合计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十、上年结转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三十一、结转下年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十一、上年结余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收入总计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  <w:lang w:val="en-US" w:eastAsia="zh-CN"/>
              </w:rPr>
              <w:t>897.54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支出总计</w:t>
            </w:r>
          </w:p>
        </w:tc>
        <w:tc>
          <w:tcPr>
            <w:tcW w:w="1412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CCCCFF" w:fill="FFFFFF"/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  <w:lang w:val="en-US" w:eastAsia="zh-CN"/>
              </w:rPr>
              <w:t>897.54</w:t>
            </w:r>
          </w:p>
        </w:tc>
      </w:tr>
    </w:tbl>
    <w:p>
      <w:pPr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b w:val="0"/>
          <w:i w:val="0"/>
          <w:color w:val="000000"/>
          <w:kern w:val="0"/>
          <w:sz w:val="21"/>
          <w:szCs w:val="18"/>
          <w:u w:val="none"/>
        </w:rPr>
        <w:t>单位：万</w:t>
      </w:r>
    </w:p>
    <w:p>
      <w:pPr>
        <w:widowControl/>
        <w:spacing w:line="560" w:lineRule="exact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71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  <w:t>备注：无内容应公开空表并说明情况。</w:t>
      </w:r>
    </w:p>
    <w:p>
      <w:pPr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i w:val="0"/>
          <w:color w:val="000000"/>
          <w:kern w:val="0"/>
          <w:sz w:val="21"/>
          <w:szCs w:val="32"/>
          <w:u w:val="none"/>
        </w:rPr>
        <w:t>表二、</w:t>
      </w:r>
      <w:r>
        <w:rPr>
          <w:rFonts w:hint="eastAsia" w:ascii="仿宋_GB2312" w:hAnsi="CIDFont+F6" w:eastAsia="仿宋_GB2312"/>
          <w:b w:val="0"/>
          <w:i w:val="0"/>
          <w:color w:val="000000"/>
          <w:sz w:val="21"/>
          <w:szCs w:val="32"/>
          <w:u w:val="none"/>
        </w:rPr>
        <w:t>部门/单位</w:t>
      </w:r>
      <w:r>
        <w:rPr>
          <w:rFonts w:hint="eastAsia" w:ascii="仿宋_GB2312" w:hAnsi="宋体" w:eastAsia="仿宋_GB2312" w:cs="宋体"/>
          <w:b w:val="0"/>
          <w:i w:val="0"/>
          <w:color w:val="000000"/>
          <w:kern w:val="0"/>
          <w:sz w:val="21"/>
          <w:szCs w:val="32"/>
          <w:u w:val="none"/>
        </w:rPr>
        <w:t>收入总体情况表</w:t>
      </w:r>
    </w:p>
    <w:p>
      <w:pPr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b w:val="0"/>
          <w:i w:val="0"/>
          <w:color w:val="000000"/>
          <w:kern w:val="0"/>
          <w:sz w:val="21"/>
          <w:szCs w:val="18"/>
          <w:u w:val="none"/>
        </w:rPr>
        <w:t>单位：万元</w:t>
      </w:r>
    </w:p>
    <w:tbl>
      <w:tblPr>
        <w:tblStyle w:val="8"/>
        <w:tblW w:w="95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2"/>
        <w:gridCol w:w="2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6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项目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6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**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897.54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>一、一般公共预算财政拨款收入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 xml:space="preserve"> </w:t>
            </w:r>
            <w: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 xml:space="preserve">       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>二、政府性基金预算财政拨款收入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 xml:space="preserve"> </w:t>
            </w:r>
            <w: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 xml:space="preserve">       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>三、国有资本经营预算收入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 xml:space="preserve"> </w:t>
            </w:r>
            <w: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 xml:space="preserve">       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>四、教育专户核算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 xml:space="preserve"> </w:t>
            </w:r>
            <w: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 xml:space="preserve">       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>五、事业收入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 xml:space="preserve"> </w:t>
            </w:r>
            <w: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 xml:space="preserve">       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>六、上级补助收入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 xml:space="preserve"> </w:t>
            </w:r>
            <w: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 xml:space="preserve">       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>七、附属单位上缴收入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 xml:space="preserve"> </w:t>
            </w:r>
            <w: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 xml:space="preserve">       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>八、经营收入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 xml:space="preserve"> </w:t>
            </w:r>
            <w: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 xml:space="preserve">       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>九、其他收入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 xml:space="preserve"> </w:t>
            </w:r>
            <w: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 xml:space="preserve">       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 xml:space="preserve">        本年收入合计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897.54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>十、上年结转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 xml:space="preserve"> </w:t>
            </w:r>
            <w: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 xml:space="preserve">       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>十一、上年结余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 xml:space="preserve"> </w:t>
            </w:r>
            <w: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 xml:space="preserve">       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 xml:space="preserve">        收入合计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897.54</w:t>
            </w:r>
          </w:p>
        </w:tc>
      </w:tr>
    </w:tbl>
    <w:p>
      <w:pPr>
        <w:widowControl/>
        <w:spacing w:line="560" w:lineRule="exact"/>
        <w:jc w:val="left"/>
        <w:rPr>
          <w:rFonts w:ascii="宋体" w:hAnsi="宋体"/>
          <w:bCs/>
          <w:color w:val="000000"/>
          <w:sz w:val="18"/>
          <w:szCs w:val="18"/>
        </w:rPr>
      </w:pPr>
      <w:r>
        <w:rPr>
          <w:rFonts w:hint="eastAsia" w:ascii="宋体" w:hAnsi="宋体"/>
          <w:b w:val="0"/>
          <w:bCs/>
          <w:i w:val="0"/>
          <w:color w:val="000000"/>
          <w:sz w:val="21"/>
          <w:szCs w:val="18"/>
          <w:u w:val="none"/>
        </w:rPr>
        <w:t>备注：无内容应公开空表并说明情况。</w:t>
      </w:r>
    </w:p>
    <w:p>
      <w:pPr>
        <w:tabs>
          <w:tab w:val="left" w:pos="1272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  <w:tab/>
      </w:r>
    </w:p>
    <w:p>
      <w:pPr>
        <w:tabs>
          <w:tab w:val="left" w:pos="1272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  <w:tab/>
      </w:r>
    </w:p>
    <w:p>
      <w:pPr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i w:val="0"/>
          <w:color w:val="000000"/>
          <w:kern w:val="0"/>
          <w:sz w:val="21"/>
          <w:szCs w:val="32"/>
          <w:u w:val="none"/>
        </w:rPr>
        <w:t>表三、</w:t>
      </w:r>
      <w:r>
        <w:rPr>
          <w:rFonts w:hint="eastAsia" w:ascii="仿宋_GB2312" w:hAnsi="CIDFont+F6" w:eastAsia="仿宋_GB2312"/>
          <w:b w:val="0"/>
          <w:i w:val="0"/>
          <w:color w:val="000000"/>
          <w:sz w:val="21"/>
          <w:szCs w:val="32"/>
          <w:u w:val="none"/>
        </w:rPr>
        <w:t>部门/单位</w:t>
      </w:r>
      <w:r>
        <w:rPr>
          <w:rFonts w:hint="eastAsia" w:ascii="仿宋_GB2312" w:hAnsi="宋体" w:eastAsia="仿宋_GB2312" w:cs="宋体"/>
          <w:b w:val="0"/>
          <w:i w:val="0"/>
          <w:color w:val="000000"/>
          <w:kern w:val="0"/>
          <w:sz w:val="21"/>
          <w:szCs w:val="32"/>
          <w:u w:val="none"/>
        </w:rPr>
        <w:t>支出总体情况表</w:t>
      </w:r>
    </w:p>
    <w:p>
      <w:pPr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b w:val="0"/>
          <w:i w:val="0"/>
          <w:color w:val="000000"/>
          <w:kern w:val="0"/>
          <w:sz w:val="21"/>
          <w:szCs w:val="18"/>
          <w:u w:val="none"/>
        </w:rPr>
        <w:t>单位：万元</w:t>
      </w:r>
    </w:p>
    <w:tbl>
      <w:tblPr>
        <w:tblStyle w:val="8"/>
        <w:tblW w:w="971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8"/>
        <w:gridCol w:w="1531"/>
        <w:gridCol w:w="1531"/>
        <w:gridCol w:w="1531"/>
        <w:gridCol w:w="1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功能分类科目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支出合计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基本支出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项目支出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上年结转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**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>总计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>行政运行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  <w:lang w:val="en-US" w:eastAsia="zh-CN"/>
              </w:rPr>
              <w:t>897.54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rPr>
                <w:rFonts w:hint="default" w:ascii="宋体" w:hAnsi="宋体"/>
                <w:b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  <w:lang w:val="en-US" w:eastAsia="zh-CN"/>
              </w:rPr>
              <w:t>897.54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b w:val="0"/>
          <w:i w:val="0"/>
          <w:color w:val="000000"/>
          <w:sz w:val="21"/>
          <w:szCs w:val="18"/>
          <w:u w:val="none"/>
        </w:rPr>
        <w:t>备注：无内容应公开空表并说明情况。</w:t>
      </w: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tabs>
          <w:tab w:val="left" w:pos="4056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  <w:tab/>
      </w:r>
    </w:p>
    <w:p>
      <w:pPr>
        <w:tabs>
          <w:tab w:val="left" w:pos="4056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  <w:tab/>
      </w:r>
    </w:p>
    <w:p>
      <w:pPr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i w:val="0"/>
          <w:color w:val="000000"/>
          <w:kern w:val="0"/>
          <w:sz w:val="21"/>
          <w:szCs w:val="32"/>
          <w:u w:val="none"/>
        </w:rPr>
        <w:t>表四、财政拨款收支总体情况表</w:t>
      </w:r>
    </w:p>
    <w:p>
      <w:pPr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b w:val="0"/>
          <w:i w:val="0"/>
          <w:color w:val="000000"/>
          <w:kern w:val="0"/>
          <w:sz w:val="21"/>
          <w:szCs w:val="18"/>
          <w:u w:val="none"/>
        </w:rPr>
        <w:t>单位：万元</w:t>
      </w:r>
    </w:p>
    <w:tbl>
      <w:tblPr>
        <w:tblStyle w:val="8"/>
        <w:tblW w:w="98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1363"/>
        <w:gridCol w:w="3882"/>
        <w:gridCol w:w="1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收      入</w:t>
            </w:r>
          </w:p>
        </w:tc>
        <w:tc>
          <w:tcPr>
            <w:tcW w:w="5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支 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项目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预算数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项目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一、本年收入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897.54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一、本年支出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897.54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（一）一般公共预算财政拨款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897.54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（一）一般公共服务支出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897.54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（二）政府性基金预算财政拨款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（二）外交支出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（三）国有资本经营预算财政拨款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（三）国防支出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（四）公共安全支出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（五）教育支出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（六）科学技术支出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（七）文化体育与传媒支出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（八）社会保障和就业支出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（九）社会保险基金支出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（十）卫生健康支出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（十一）节能环保支出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（十二）城乡社区支出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（十三）农林水支出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（十四）交通运输支出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（十五）资源勘探工业信息等支出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（十六）商业服务业等支出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（十七）金融支出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（十八）援助其他地区支出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（十九）自然资源海洋气象等支出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（二十）住房保障支出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（二十一）粮油物资储备支出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（二十二）国有资本经营预算支出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（二十三）灾害防治及应急管理支出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（二十四）预备费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（二十五）其他支出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（二十六）债务还本支出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（二十七）债务付息支出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（二十八）债务发行费用支出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（二十九）抗疫特别国债还本支出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收  入  总  计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897.54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支  出  总  计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897.54</w:t>
            </w:r>
          </w:p>
        </w:tc>
      </w:tr>
    </w:tbl>
    <w:p>
      <w:pPr>
        <w:widowControl/>
        <w:spacing w:line="560" w:lineRule="exact"/>
        <w:jc w:val="left"/>
        <w:rPr>
          <w:rFonts w:ascii="宋体" w:hAnsi="宋体" w:cs="Arial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b w:val="0"/>
          <w:bCs/>
          <w:i w:val="0"/>
          <w:color w:val="000000"/>
          <w:kern w:val="0"/>
          <w:sz w:val="21"/>
          <w:szCs w:val="18"/>
          <w:u w:val="none"/>
        </w:rPr>
        <w:t>备注：无内容应公开空表并说明情况。</w:t>
      </w: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tabs>
          <w:tab w:val="left" w:pos="2784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i w:val="0"/>
          <w:color w:val="000000"/>
          <w:kern w:val="0"/>
          <w:sz w:val="21"/>
          <w:szCs w:val="32"/>
          <w:u w:val="none"/>
        </w:rPr>
        <w:t>表五、财政拨款支出表</w:t>
      </w:r>
    </w:p>
    <w:p>
      <w:pPr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b w:val="0"/>
          <w:i w:val="0"/>
          <w:color w:val="000000"/>
          <w:kern w:val="0"/>
          <w:sz w:val="21"/>
          <w:szCs w:val="18"/>
          <w:u w:val="none"/>
        </w:rPr>
        <w:t>单位：万元</w:t>
      </w:r>
    </w:p>
    <w:tbl>
      <w:tblPr>
        <w:tblStyle w:val="8"/>
        <w:tblW w:w="14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1065"/>
        <w:gridCol w:w="1066"/>
        <w:gridCol w:w="1025"/>
        <w:gridCol w:w="1066"/>
        <w:gridCol w:w="1066"/>
        <w:gridCol w:w="1025"/>
        <w:gridCol w:w="1066"/>
        <w:gridCol w:w="1066"/>
        <w:gridCol w:w="1025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单位名称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总计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一般公共预算支出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政府性基金预算支出</w:t>
            </w:r>
          </w:p>
        </w:tc>
        <w:tc>
          <w:tcPr>
            <w:tcW w:w="31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国有资本经营预算支出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合计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基本支出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项目支出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合计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基本支出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项目支出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合计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基本支出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**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>总计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>……积石山县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  <w:lang w:eastAsia="zh-CN"/>
              </w:rPr>
              <w:t>政协办公室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897.54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897.54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897.54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rPr>
                <w:rFonts w:ascii="宋体" w:hAnsi="宋体" w:cs="Arial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b w:val="0"/>
          <w:i w:val="0"/>
          <w:color w:val="000000"/>
          <w:sz w:val="21"/>
          <w:szCs w:val="18"/>
          <w:u w:val="none"/>
        </w:rPr>
        <w:t>备注：无内容应公开空表并说明情况。</w:t>
      </w: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tabs>
          <w:tab w:val="left" w:pos="3936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  <w:tab/>
      </w:r>
    </w:p>
    <w:p>
      <w:pPr>
        <w:tabs>
          <w:tab w:val="left" w:pos="3936"/>
        </w:tabs>
        <w:rPr>
          <w:rFonts w:ascii="仿宋_GB2312" w:hAnsi="微软雅黑" w:eastAsia="仿宋_GB2312"/>
          <w:sz w:val="18"/>
          <w:szCs w:val="1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  <w:tab/>
      </w:r>
    </w:p>
    <w:p>
      <w:pPr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i w:val="0"/>
          <w:color w:val="000000"/>
          <w:kern w:val="0"/>
          <w:sz w:val="21"/>
          <w:szCs w:val="32"/>
          <w:u w:val="none"/>
        </w:rPr>
        <w:t>表六、一般公共预算支出情况表</w:t>
      </w: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Arial"/>
          <w:b w:val="0"/>
          <w:i w:val="0"/>
          <w:color w:val="000000"/>
          <w:kern w:val="0"/>
          <w:sz w:val="21"/>
          <w:szCs w:val="18"/>
          <w:u w:val="none"/>
        </w:rPr>
        <w:t>单位：万元</w:t>
      </w:r>
    </w:p>
    <w:tbl>
      <w:tblPr>
        <w:tblStyle w:val="8"/>
        <w:tblW w:w="959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4253"/>
        <w:gridCol w:w="1417"/>
        <w:gridCol w:w="1418"/>
        <w:gridCol w:w="1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3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功能分类科目</w:t>
            </w:r>
          </w:p>
        </w:tc>
        <w:tc>
          <w:tcPr>
            <w:tcW w:w="42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科目编码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科目名称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基本支出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**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**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>总计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>2130301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>行政运行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897.54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897.54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jc w:val="left"/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b w:val="0"/>
          <w:i w:val="0"/>
          <w:color w:val="000000"/>
          <w:sz w:val="21"/>
          <w:szCs w:val="18"/>
          <w:u w:val="none"/>
        </w:rPr>
        <w:t>备注：无内容应公开空表并说明情况。</w:t>
      </w: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tabs>
          <w:tab w:val="left" w:pos="2472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  <w:tab/>
      </w:r>
    </w:p>
    <w:p>
      <w:pPr>
        <w:tabs>
          <w:tab w:val="left" w:pos="2472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  <w:tab/>
      </w:r>
    </w:p>
    <w:p>
      <w:pPr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i w:val="0"/>
          <w:color w:val="000000"/>
          <w:kern w:val="0"/>
          <w:sz w:val="21"/>
          <w:szCs w:val="32"/>
          <w:u w:val="none"/>
        </w:rPr>
        <w:t>表七、一般公共预算基本支出情况表</w:t>
      </w: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Arial"/>
          <w:b w:val="0"/>
          <w:i w:val="0"/>
          <w:color w:val="000000"/>
          <w:kern w:val="0"/>
          <w:sz w:val="21"/>
          <w:szCs w:val="18"/>
          <w:u w:val="none"/>
        </w:rPr>
        <w:t>单位：万元</w:t>
      </w:r>
    </w:p>
    <w:tbl>
      <w:tblPr>
        <w:tblStyle w:val="8"/>
        <w:tblW w:w="94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4252"/>
        <w:gridCol w:w="1559"/>
        <w:gridCol w:w="1418"/>
        <w:gridCol w:w="1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经济分类科目</w:t>
            </w:r>
          </w:p>
        </w:tc>
        <w:tc>
          <w:tcPr>
            <w:tcW w:w="4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科目编码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科目名称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人员经费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**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**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>总计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>2130301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>行政运行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  <w:lang w:val="en-US" w:eastAsia="zh-CN"/>
              </w:rPr>
              <w:t>897.54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  <w:lang w:val="en-US" w:eastAsia="zh-CN"/>
              </w:rPr>
              <w:t>756.74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  <w:lang w:val="en-US" w:eastAsia="zh-CN"/>
              </w:rPr>
              <w:t>140.8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b w:val="0"/>
          <w:i w:val="0"/>
          <w:color w:val="000000"/>
          <w:sz w:val="21"/>
          <w:szCs w:val="18"/>
          <w:u w:val="none"/>
        </w:rPr>
        <w:t>备注：无内容应公开空表并说明情况。</w:t>
      </w: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tabs>
          <w:tab w:val="left" w:pos="1512"/>
        </w:tabs>
        <w:rPr>
          <w:rFonts w:ascii="宋体" w:hAnsi="宋体"/>
          <w:sz w:val="18"/>
          <w:szCs w:val="18"/>
        </w:rPr>
      </w:pPr>
      <w:r>
        <w:rPr>
          <w:rFonts w:ascii="宋体" w:hAnsi="宋体"/>
          <w:b w:val="0"/>
          <w:i w:val="0"/>
          <w:color w:val="000000"/>
          <w:sz w:val="21"/>
          <w:szCs w:val="18"/>
          <w:u w:val="none"/>
        </w:rPr>
        <w:tab/>
      </w:r>
    </w:p>
    <w:p>
      <w:pPr>
        <w:tabs>
          <w:tab w:val="left" w:pos="1512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  <w:tab/>
      </w:r>
    </w:p>
    <w:p>
      <w:pPr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i w:val="0"/>
          <w:color w:val="000000"/>
          <w:kern w:val="0"/>
          <w:sz w:val="21"/>
          <w:szCs w:val="32"/>
          <w:u w:val="none"/>
        </w:rPr>
        <w:t>表八、一般公共预算</w:t>
      </w:r>
      <w:r>
        <w:rPr>
          <w:rFonts w:hint="eastAsia" w:ascii="仿宋_GB2312" w:hAnsi="宋体" w:eastAsia="仿宋_GB2312" w:cs="宋体"/>
          <w:b w:val="0"/>
          <w:bCs/>
          <w:i w:val="0"/>
          <w:color w:val="000000"/>
          <w:kern w:val="0"/>
          <w:sz w:val="21"/>
          <w:szCs w:val="32"/>
          <w:u w:val="none"/>
        </w:rPr>
        <w:t>财政拨款</w:t>
      </w:r>
      <w:r>
        <w:rPr>
          <w:rFonts w:hint="eastAsia" w:ascii="仿宋_GB2312" w:hAnsi="宋体" w:eastAsia="仿宋_GB2312" w:cs="宋体"/>
          <w:b w:val="0"/>
          <w:i w:val="0"/>
          <w:color w:val="000000"/>
          <w:kern w:val="0"/>
          <w:sz w:val="21"/>
          <w:szCs w:val="32"/>
          <w:u w:val="none"/>
        </w:rPr>
        <w:t>“三公”经费、会议费、培训费支出情况表</w:t>
      </w: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Arial"/>
          <w:b w:val="0"/>
          <w:i w:val="0"/>
          <w:color w:val="000000"/>
          <w:kern w:val="0"/>
          <w:sz w:val="21"/>
          <w:szCs w:val="18"/>
          <w:u w:val="none"/>
        </w:rPr>
        <w:t>单位：万元</w:t>
      </w:r>
    </w:p>
    <w:tbl>
      <w:tblPr>
        <w:tblStyle w:val="8"/>
        <w:tblW w:w="144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5"/>
        <w:gridCol w:w="1358"/>
        <w:gridCol w:w="1361"/>
        <w:gridCol w:w="1361"/>
        <w:gridCol w:w="1361"/>
        <w:gridCol w:w="1362"/>
        <w:gridCol w:w="1265"/>
        <w:gridCol w:w="1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单位名称</w:t>
            </w:r>
          </w:p>
        </w:tc>
        <w:tc>
          <w:tcPr>
            <w:tcW w:w="68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“三公”经费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会议费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培训费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合计</w:t>
            </w:r>
          </w:p>
        </w:tc>
        <w:tc>
          <w:tcPr>
            <w:tcW w:w="13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因公出国（境）费用</w:t>
            </w:r>
          </w:p>
        </w:tc>
        <w:tc>
          <w:tcPr>
            <w:tcW w:w="13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公务接待费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公务用车购置和运行费</w:t>
            </w: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公务用车购置费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公务用车运行费</w:t>
            </w: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**</w:t>
            </w:r>
          </w:p>
        </w:tc>
        <w:tc>
          <w:tcPr>
            <w:tcW w:w="13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1</w:t>
            </w:r>
          </w:p>
        </w:tc>
        <w:tc>
          <w:tcPr>
            <w:tcW w:w="13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2</w:t>
            </w:r>
          </w:p>
        </w:tc>
        <w:tc>
          <w:tcPr>
            <w:tcW w:w="13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>总计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>……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CCCCFF" w:fill="FFFFFF"/>
            <w:noWrap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CCCCFF" w:fill="FFFFFF"/>
          </w:tcPr>
          <w:p>
            <w:pP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b w:val="0"/>
          <w:i w:val="0"/>
          <w:color w:val="000000"/>
          <w:sz w:val="21"/>
          <w:szCs w:val="18"/>
          <w:u w:val="none"/>
        </w:rPr>
        <w:t>备注：无内容应公开空表并说明情况。</w:t>
      </w: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</w:pPr>
    </w:p>
    <w:p>
      <w:pPr>
        <w:tabs>
          <w:tab w:val="left" w:pos="1812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  <w:tab/>
      </w:r>
    </w:p>
    <w:p>
      <w:pPr>
        <w:tabs>
          <w:tab w:val="left" w:pos="1812"/>
        </w:tabs>
        <w:rPr>
          <w:rFonts w:ascii="仿宋_GB2312" w:hAnsi="微软雅黑" w:eastAsia="仿宋_GB2312"/>
          <w:sz w:val="18"/>
          <w:szCs w:val="1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  <w:tab/>
      </w:r>
    </w:p>
    <w:p>
      <w:pPr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i w:val="0"/>
          <w:color w:val="000000"/>
          <w:kern w:val="0"/>
          <w:sz w:val="21"/>
          <w:szCs w:val="32"/>
          <w:u w:val="none"/>
        </w:rPr>
        <w:t>表九、一般公共预算财政拨款机关运行经费表</w:t>
      </w:r>
    </w:p>
    <w:p>
      <w:pPr>
        <w:wordWrap w:val="0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b w:val="0"/>
          <w:i w:val="0"/>
          <w:color w:val="000000"/>
          <w:kern w:val="0"/>
          <w:sz w:val="21"/>
          <w:szCs w:val="18"/>
          <w:u w:val="none"/>
        </w:rPr>
        <w:t xml:space="preserve">单位：万元 </w:t>
      </w:r>
    </w:p>
    <w:tbl>
      <w:tblPr>
        <w:tblStyle w:val="8"/>
        <w:tblW w:w="941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121"/>
        <w:gridCol w:w="1814"/>
        <w:gridCol w:w="1814"/>
        <w:gridCol w:w="1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序号</w:t>
            </w: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项目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合计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基本支出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**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**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b w:val="0"/>
                <w:bCs/>
                <w:i w:val="0"/>
                <w:color w:val="000000"/>
                <w:kern w:val="0"/>
                <w:sz w:val="21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Arial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140.8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Arial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140.8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Arial"/>
                <w:b w:val="0"/>
                <w:bCs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440001001 办公费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Arial"/>
                <w:bCs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bookmarkStart w:id="0" w:name="_GoBack" w:colFirst="2" w:colLast="2"/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440001002 印刷费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440001011 租赁费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440001005 水费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440001006 电费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440001007 邮电费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440001022 差旅费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14.45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14.45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440001020 其他商品和服务支出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4400010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17劳务费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bCs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4400010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10维修费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bCs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4400010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23培训费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bCs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4400010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03咨询费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bCs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4400010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25办公设备购置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bCs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4400010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12会议费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Arial"/>
                <w:bCs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Arial"/>
                <w:b w:val="0"/>
                <w:bCs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Arial"/>
                <w:b w:val="0"/>
                <w:bCs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  <w:t>备注：无内容应公开空表并说明情况。</w:t>
      </w:r>
    </w:p>
    <w:p>
      <w:pPr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i w:val="0"/>
          <w:color w:val="000000"/>
          <w:kern w:val="0"/>
          <w:sz w:val="21"/>
          <w:szCs w:val="32"/>
          <w:u w:val="none"/>
        </w:rPr>
        <w:t>表十、政府性基金预算支出情况表</w:t>
      </w:r>
    </w:p>
    <w:p>
      <w:pPr>
        <w:wordWrap w:val="0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b w:val="0"/>
          <w:i w:val="0"/>
          <w:color w:val="000000"/>
          <w:kern w:val="0"/>
          <w:sz w:val="21"/>
          <w:szCs w:val="18"/>
          <w:u w:val="none"/>
        </w:rPr>
        <w:t xml:space="preserve">单位：万元 </w:t>
      </w:r>
    </w:p>
    <w:tbl>
      <w:tblPr>
        <w:tblStyle w:val="8"/>
        <w:tblW w:w="949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5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 w:val="0"/>
                <w:bCs/>
                <w:i w:val="0"/>
                <w:color w:val="000000"/>
                <w:kern w:val="0"/>
                <w:sz w:val="21"/>
                <w:szCs w:val="20"/>
                <w:u w:val="none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 w:val="0"/>
                <w:bCs/>
                <w:i w:val="0"/>
                <w:color w:val="000000"/>
                <w:kern w:val="0"/>
                <w:sz w:val="21"/>
                <w:szCs w:val="20"/>
                <w:u w:val="none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bCs/>
                <w:i w:val="0"/>
                <w:color w:val="000000"/>
                <w:kern w:val="0"/>
                <w:sz w:val="21"/>
                <w:szCs w:val="20"/>
                <w:u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bCs/>
                <w:i w:val="0"/>
                <w:color w:val="000000"/>
                <w:kern w:val="0"/>
                <w:sz w:val="21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**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 w:val="0"/>
                <w:bCs/>
                <w:i w:val="0"/>
                <w:color w:val="000000"/>
                <w:kern w:val="0"/>
                <w:sz w:val="21"/>
                <w:szCs w:val="20"/>
                <w:u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>总计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……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  <w:t>备注：无内容应公开空表并说明情况。</w:t>
      </w:r>
    </w:p>
    <w:p>
      <w:pPr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i w:val="0"/>
          <w:color w:val="000000"/>
          <w:kern w:val="0"/>
          <w:sz w:val="21"/>
          <w:szCs w:val="32"/>
          <w:u w:val="none"/>
        </w:rPr>
        <w:t>表十一、国有资本经营预算支出情况表</w:t>
      </w:r>
    </w:p>
    <w:p>
      <w:pPr>
        <w:wordWrap w:val="0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b w:val="0"/>
          <w:i w:val="0"/>
          <w:color w:val="000000"/>
          <w:kern w:val="0"/>
          <w:sz w:val="21"/>
          <w:szCs w:val="18"/>
          <w:u w:val="none"/>
        </w:rPr>
        <w:t xml:space="preserve">单位：万元 </w:t>
      </w:r>
    </w:p>
    <w:tbl>
      <w:tblPr>
        <w:tblStyle w:val="8"/>
        <w:tblW w:w="949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5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 w:val="0"/>
                <w:bCs/>
                <w:i w:val="0"/>
                <w:color w:val="000000"/>
                <w:kern w:val="0"/>
                <w:sz w:val="21"/>
                <w:szCs w:val="20"/>
                <w:u w:val="none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 w:val="0"/>
                <w:bCs/>
                <w:i w:val="0"/>
                <w:color w:val="000000"/>
                <w:kern w:val="0"/>
                <w:sz w:val="21"/>
                <w:szCs w:val="20"/>
                <w:u w:val="none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bCs/>
                <w:i w:val="0"/>
                <w:color w:val="000000"/>
                <w:kern w:val="0"/>
                <w:sz w:val="21"/>
                <w:szCs w:val="20"/>
                <w:u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bCs/>
                <w:i w:val="0"/>
                <w:color w:val="000000"/>
                <w:kern w:val="0"/>
                <w:sz w:val="21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**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 w:val="0"/>
                <w:bCs/>
                <w:i w:val="0"/>
                <w:color w:val="000000"/>
                <w:kern w:val="0"/>
                <w:sz w:val="21"/>
                <w:szCs w:val="20"/>
                <w:u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 w:val="0"/>
                <w:i w:val="0"/>
                <w:color w:val="000000"/>
                <w:sz w:val="21"/>
                <w:szCs w:val="18"/>
                <w:u w:val="none"/>
              </w:rPr>
              <w:t>总计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……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Arial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b w:val="0"/>
          <w:i w:val="0"/>
          <w:color w:val="000000"/>
          <w:sz w:val="21"/>
          <w:szCs w:val="18"/>
          <w:u w:val="none"/>
        </w:rPr>
        <w:t>备注：无内容应公开空表并说明情况。</w:t>
      </w:r>
    </w:p>
    <w:p>
      <w:pPr>
        <w:spacing w:line="36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b w:val="0"/>
          <w:i w:val="0"/>
          <w:color w:val="000000"/>
          <w:sz w:val="21"/>
          <w:szCs w:val="30"/>
          <w:u w:val="none"/>
        </w:rPr>
        <w:t>附件2</w:t>
      </w:r>
    </w:p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 w:val="0"/>
          <w:i w:val="0"/>
          <w:color w:val="000000"/>
          <w:sz w:val="21"/>
          <w:szCs w:val="28"/>
          <w:u w:val="none"/>
        </w:rPr>
        <w:t>部门/单位整体支出绩效目标表</w:t>
      </w:r>
    </w:p>
    <w:p>
      <w:pPr>
        <w:spacing w:line="560" w:lineRule="exac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 w:val="0"/>
          <w:i w:val="0"/>
          <w:color w:val="000000"/>
          <w:sz w:val="21"/>
          <w:szCs w:val="24"/>
          <w:u w:val="none"/>
        </w:rPr>
        <w:t>（2024年度）</w:t>
      </w:r>
    </w:p>
    <w:tbl>
      <w:tblPr>
        <w:tblStyle w:val="8"/>
        <w:tblW w:w="87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625"/>
        <w:gridCol w:w="846"/>
        <w:gridCol w:w="817"/>
        <w:gridCol w:w="1537"/>
        <w:gridCol w:w="1738"/>
        <w:gridCol w:w="1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1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color w:val="000000"/>
                <w:sz w:val="21"/>
                <w:szCs w:val="18"/>
                <w:u w:val="none"/>
              </w:rPr>
              <w:t>部门（单位）名称</w:t>
            </w:r>
          </w:p>
        </w:tc>
        <w:tc>
          <w:tcPr>
            <w:tcW w:w="56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b w:val="0"/>
                <w:i w:val="0"/>
                <w:color w:val="000000"/>
                <w:sz w:val="21"/>
                <w:szCs w:val="18"/>
                <w:u w:val="none"/>
              </w:rPr>
              <w:t>积石山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color w:val="000000"/>
                <w:sz w:val="21"/>
                <w:szCs w:val="18"/>
                <w:u w:val="none"/>
                <w:lang w:eastAsia="zh-CN"/>
              </w:rPr>
              <w:t>县政协办公室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  <w:jc w:val="center"/>
        </w:trPr>
        <w:tc>
          <w:tcPr>
            <w:tcW w:w="6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tbLrV"/>
            <w:vAlign w:val="center"/>
          </w:tcPr>
          <w:p>
            <w:pPr>
              <w:ind w:right="113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color w:val="000000"/>
                <w:sz w:val="21"/>
                <w:szCs w:val="18"/>
                <w:u w:val="none"/>
              </w:rPr>
              <w:t>总 体 目 标</w:t>
            </w:r>
          </w:p>
        </w:tc>
        <w:tc>
          <w:tcPr>
            <w:tcW w:w="810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目标1：按时发放职工工资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目标2：保障单位正常运转</w:t>
            </w:r>
          </w:p>
          <w:p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  <w:tl2br w:val="nil"/>
              <w:tr2bl w:val="nil"/>
            </w:tcBorders>
            <w:textDirection w:val="tbLrV"/>
            <w:vAlign w:val="center"/>
          </w:tcPr>
          <w:p>
            <w:pPr>
              <w:ind w:right="113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color w:val="000000"/>
                <w:sz w:val="21"/>
                <w:szCs w:val="18"/>
                <w:u w:val="none"/>
              </w:rPr>
              <w:t>预 算 情 况（万元）</w:t>
            </w:r>
          </w:p>
        </w:tc>
        <w:tc>
          <w:tcPr>
            <w:tcW w:w="32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color w:val="000000"/>
                <w:sz w:val="21"/>
                <w:szCs w:val="18"/>
                <w:u w:val="none"/>
              </w:rPr>
              <w:t>按支出类型分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color w:val="000000"/>
                <w:sz w:val="21"/>
                <w:szCs w:val="18"/>
                <w:u w:val="none"/>
              </w:rPr>
              <w:t>预算金额</w:t>
            </w: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color w:val="000000"/>
                <w:sz w:val="21"/>
                <w:szCs w:val="18"/>
                <w:u w:val="none"/>
              </w:rPr>
              <w:t>按来源类型分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color w:val="000000"/>
                <w:sz w:val="21"/>
                <w:szCs w:val="18"/>
                <w:u w:val="none"/>
              </w:rPr>
              <w:t>预算金额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color w:val="000000"/>
                <w:sz w:val="21"/>
                <w:szCs w:val="18"/>
                <w:u w:val="none"/>
              </w:rPr>
              <w:t>基本支出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color w:val="000000"/>
                <w:sz w:val="21"/>
                <w:szCs w:val="18"/>
                <w:u w:val="none"/>
              </w:rPr>
              <w:t>人员经费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756.74</w:t>
            </w: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color w:val="000000"/>
                <w:sz w:val="21"/>
                <w:szCs w:val="18"/>
                <w:u w:val="none"/>
              </w:rPr>
              <w:t>当年财政拨款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897.54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color w:val="000000"/>
                <w:sz w:val="21"/>
                <w:szCs w:val="18"/>
                <w:u w:val="none"/>
              </w:rPr>
              <w:t>公用经费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140.8</w:t>
            </w: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color w:val="000000"/>
                <w:sz w:val="21"/>
                <w:szCs w:val="18"/>
                <w:u w:val="none"/>
              </w:rPr>
              <w:t>上年结转资金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color w:val="000000"/>
                <w:sz w:val="21"/>
                <w:szCs w:val="18"/>
                <w:u w:val="none"/>
              </w:rPr>
              <w:t>合计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897.54</w:t>
            </w: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color w:val="000000"/>
                <w:sz w:val="21"/>
                <w:szCs w:val="18"/>
                <w:u w:val="none"/>
              </w:rPr>
              <w:t>其他资金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color w:val="000000"/>
                <w:sz w:val="21"/>
                <w:szCs w:val="18"/>
                <w:u w:val="none"/>
              </w:rPr>
              <w:t>项目支出</w:t>
            </w:r>
          </w:p>
        </w:tc>
        <w:tc>
          <w:tcPr>
            <w:tcW w:w="153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color w:val="000000"/>
                <w:sz w:val="21"/>
                <w:szCs w:val="18"/>
                <w:u w:val="none"/>
              </w:rPr>
              <w:t>收入预算合计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897.54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3288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color w:val="000000"/>
                <w:sz w:val="21"/>
                <w:szCs w:val="18"/>
                <w:u w:val="none"/>
              </w:rPr>
              <w:t>支出预算合计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897.54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textDirection w:val="tbLrV"/>
            <w:vAlign w:val="center"/>
          </w:tcPr>
          <w:p>
            <w:pPr>
              <w:ind w:right="113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i w:val="0"/>
                <w:color w:val="000000"/>
                <w:kern w:val="0"/>
                <w:sz w:val="21"/>
                <w:szCs w:val="18"/>
                <w:u w:val="none"/>
              </w:rPr>
              <w:t>绩 效 指 标</w:t>
            </w:r>
          </w:p>
        </w:tc>
        <w:tc>
          <w:tcPr>
            <w:tcW w:w="1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  <w:t>一级指标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  <w:t>二级指标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  <w:t>三级指标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  <w:t>部门管理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  <w:t>全年支出率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  <w:t>全年支出率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  <w:t>成本指标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  <w:t>发放金额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  <w:t>足额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  <w:t>履职效果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  <w:t>按时发放职工工资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  <w:t>按时发放职工工资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  <w:t>及时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  <w:t>保障单位正常运转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  <w:t>保障单位正常运转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  <w:t>预算执行力度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  <w:t>预算执行力度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  <w:t>能力建设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</w:pP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/>
                <w:i w:val="0"/>
                <w:color w:val="000000"/>
                <w:sz w:val="21"/>
                <w:szCs w:val="18"/>
                <w:u w:val="none"/>
              </w:rPr>
            </w:pPr>
          </w:p>
        </w:tc>
      </w:tr>
    </w:tbl>
    <w:p>
      <w:pPr>
        <w:rPr>
          <w:b w:val="0"/>
          <w:i w:val="0"/>
          <w:color w:val="000000"/>
          <w:sz w:val="21"/>
          <w:u w:val="none"/>
        </w:rPr>
      </w:pPr>
    </w:p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 w:val="0"/>
          <w:i w:val="0"/>
          <w:color w:val="000000"/>
          <w:sz w:val="21"/>
          <w:szCs w:val="28"/>
          <w:u w:val="none"/>
        </w:rPr>
        <w:br w:type="page"/>
      </w:r>
      <w:r>
        <w:rPr>
          <w:rFonts w:hint="eastAsia" w:ascii="仿宋_GB2312" w:eastAsia="仿宋_GB2312"/>
          <w:b w:val="0"/>
          <w:i w:val="0"/>
          <w:color w:val="000000"/>
          <w:sz w:val="21"/>
          <w:szCs w:val="28"/>
          <w:u w:val="none"/>
        </w:rPr>
        <w:t>项目支出绩效目标表</w:t>
      </w:r>
    </w:p>
    <w:p>
      <w:pPr>
        <w:spacing w:line="560" w:lineRule="exac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 w:val="0"/>
          <w:i w:val="0"/>
          <w:color w:val="000000"/>
          <w:sz w:val="21"/>
          <w:szCs w:val="24"/>
          <w:u w:val="none"/>
        </w:rPr>
        <w:t>（2024年度）</w:t>
      </w:r>
    </w:p>
    <w:tbl>
      <w:tblPr>
        <w:tblStyle w:val="8"/>
        <w:tblW w:w="5291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548"/>
        <w:gridCol w:w="108"/>
        <w:gridCol w:w="2782"/>
        <w:gridCol w:w="544"/>
        <w:gridCol w:w="1497"/>
        <w:gridCol w:w="774"/>
        <w:gridCol w:w="251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项目名称</w:t>
            </w:r>
          </w:p>
        </w:tc>
        <w:tc>
          <w:tcPr>
            <w:tcW w:w="3943" w:type="pct"/>
            <w:gridSpan w:val="6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主管部门及</w:t>
            </w:r>
            <w:r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代码</w:t>
            </w:r>
          </w:p>
        </w:tc>
        <w:tc>
          <w:tcPr>
            <w:tcW w:w="1647" w:type="pct"/>
            <w:gridSpan w:val="3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089" w:type="pct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实施单位</w:t>
            </w:r>
          </w:p>
        </w:tc>
        <w:tc>
          <w:tcPr>
            <w:tcW w:w="1207" w:type="pct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项目资金</w:t>
            </w:r>
          </w:p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（万元）</w:t>
            </w:r>
          </w:p>
        </w:tc>
        <w:tc>
          <w:tcPr>
            <w:tcW w:w="1647" w:type="pct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年度资金总额：</w:t>
            </w:r>
          </w:p>
        </w:tc>
        <w:tc>
          <w:tcPr>
            <w:tcW w:w="2296" w:type="pct"/>
            <w:gridSpan w:val="3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647" w:type="pct"/>
            <w:gridSpan w:val="3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其中</w:t>
            </w:r>
            <w:r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当年</w:t>
            </w:r>
            <w:r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财政拨款</w:t>
            </w:r>
          </w:p>
        </w:tc>
        <w:tc>
          <w:tcPr>
            <w:tcW w:w="2296" w:type="pct"/>
            <w:gridSpan w:val="3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647" w:type="pct"/>
            <w:gridSpan w:val="3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上年结转资金</w:t>
            </w:r>
          </w:p>
        </w:tc>
        <w:tc>
          <w:tcPr>
            <w:tcW w:w="2296" w:type="pct"/>
            <w:gridSpan w:val="3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647" w:type="pct"/>
            <w:gridSpan w:val="3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其他资金</w:t>
            </w:r>
          </w:p>
        </w:tc>
        <w:tc>
          <w:tcPr>
            <w:tcW w:w="2296" w:type="pct"/>
            <w:gridSpan w:val="3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Align w:val="center"/>
          </w:tcPr>
          <w:p>
            <w:pPr>
              <w:spacing w:line="360" w:lineRule="exac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总</w:t>
            </w:r>
          </w:p>
          <w:p>
            <w:pPr>
              <w:spacing w:line="360" w:lineRule="exac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体</w:t>
            </w:r>
          </w:p>
          <w:p>
            <w:pPr>
              <w:spacing w:line="360" w:lineRule="exac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目</w:t>
            </w:r>
          </w:p>
          <w:p>
            <w:pPr>
              <w:spacing w:line="360" w:lineRule="exac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标</w:t>
            </w:r>
          </w:p>
        </w:tc>
        <w:tc>
          <w:tcPr>
            <w:tcW w:w="4685" w:type="pct"/>
            <w:gridSpan w:val="7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目标1：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目标2：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目标3：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15" w:type="pct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i w:val="0"/>
                <w:color w:val="000000"/>
                <w:kern w:val="0"/>
                <w:sz w:val="21"/>
                <w:szCs w:val="18"/>
                <w:u w:val="none"/>
              </w:rPr>
              <w:t>绩效指标</w:t>
            </w:r>
          </w:p>
        </w:tc>
        <w:tc>
          <w:tcPr>
            <w:tcW w:w="794" w:type="pct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i w:val="0"/>
                <w:color w:val="000000"/>
                <w:kern w:val="0"/>
                <w:sz w:val="21"/>
                <w:szCs w:val="18"/>
                <w:u w:val="none"/>
              </w:rPr>
              <w:t>一级指标</w:t>
            </w: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i w:val="0"/>
                <w:color w:val="000000"/>
                <w:kern w:val="0"/>
                <w:sz w:val="21"/>
                <w:szCs w:val="18"/>
                <w:u w:val="none"/>
              </w:rPr>
              <w:t>二级指标</w:t>
            </w: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i w:val="0"/>
                <w:color w:val="000000"/>
                <w:kern w:val="0"/>
                <w:sz w:val="21"/>
                <w:szCs w:val="18"/>
                <w:u w:val="none"/>
              </w:rPr>
              <w:t>三级指标</w:t>
            </w: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i w:val="0"/>
                <w:color w:val="000000"/>
                <w:kern w:val="0"/>
                <w:sz w:val="21"/>
                <w:szCs w:val="18"/>
                <w:u w:val="none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794" w:type="pct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成本指标</w:t>
            </w: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bCs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794" w:type="pct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产出指标</w:t>
            </w: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794" w:type="pct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效益指标</w:t>
            </w: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794" w:type="pct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  <w:t>满意度指标</w:t>
            </w: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rPr>
                <w:rFonts w:cs="宋体" w:asciiTheme="minorEastAsia" w:hAnsiTheme="minorEastAsia" w:eastAsiaTheme="minorEastAsia"/>
                <w:b w:val="0"/>
                <w:i w:val="0"/>
                <w:color w:val="000000"/>
                <w:kern w:val="0"/>
                <w:sz w:val="21"/>
                <w:szCs w:val="18"/>
                <w:u w:val="none"/>
              </w:rPr>
            </w:pPr>
          </w:p>
        </w:tc>
      </w:tr>
    </w:tbl>
    <w:p>
      <w:pPr>
        <w:tabs>
          <w:tab w:val="left" w:pos="1848"/>
        </w:tabs>
        <w:rPr>
          <w:b w:val="0"/>
          <w:i w:val="0"/>
          <w:color w:val="000000"/>
          <w:sz w:val="21"/>
          <w:u w:val="none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6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4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23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GUxNjE4MjBjM2VhNDllYzNjMjU3YWY3M2MwZGQifQ=="/>
  </w:docVars>
  <w:rsids>
    <w:rsidRoot w:val="00FB4362"/>
    <w:rsid w:val="00000C55"/>
    <w:rsid w:val="00001446"/>
    <w:rsid w:val="0001130C"/>
    <w:rsid w:val="00011F27"/>
    <w:rsid w:val="00012457"/>
    <w:rsid w:val="00021BBF"/>
    <w:rsid w:val="00030443"/>
    <w:rsid w:val="00030F4C"/>
    <w:rsid w:val="0003278A"/>
    <w:rsid w:val="000368FE"/>
    <w:rsid w:val="00042A06"/>
    <w:rsid w:val="00043601"/>
    <w:rsid w:val="000442B5"/>
    <w:rsid w:val="0004639D"/>
    <w:rsid w:val="000465E2"/>
    <w:rsid w:val="0005161F"/>
    <w:rsid w:val="000547D1"/>
    <w:rsid w:val="00055759"/>
    <w:rsid w:val="000612EE"/>
    <w:rsid w:val="00061BAF"/>
    <w:rsid w:val="0006337D"/>
    <w:rsid w:val="00074626"/>
    <w:rsid w:val="00076B62"/>
    <w:rsid w:val="00082093"/>
    <w:rsid w:val="000861D5"/>
    <w:rsid w:val="0009273A"/>
    <w:rsid w:val="000A20A7"/>
    <w:rsid w:val="000A655B"/>
    <w:rsid w:val="000B54DD"/>
    <w:rsid w:val="000C2055"/>
    <w:rsid w:val="000C2B7F"/>
    <w:rsid w:val="000C37BE"/>
    <w:rsid w:val="000C4C50"/>
    <w:rsid w:val="000C7D67"/>
    <w:rsid w:val="000D0130"/>
    <w:rsid w:val="000D2EEE"/>
    <w:rsid w:val="000D2F19"/>
    <w:rsid w:val="000E0CEA"/>
    <w:rsid w:val="000F3CBF"/>
    <w:rsid w:val="000F3F42"/>
    <w:rsid w:val="000F473D"/>
    <w:rsid w:val="001017F3"/>
    <w:rsid w:val="0011297B"/>
    <w:rsid w:val="00123768"/>
    <w:rsid w:val="00125A02"/>
    <w:rsid w:val="00126B08"/>
    <w:rsid w:val="001272E5"/>
    <w:rsid w:val="00127D01"/>
    <w:rsid w:val="00130F5F"/>
    <w:rsid w:val="001374F5"/>
    <w:rsid w:val="00152FDC"/>
    <w:rsid w:val="001561FD"/>
    <w:rsid w:val="0015647B"/>
    <w:rsid w:val="00156619"/>
    <w:rsid w:val="00156C8B"/>
    <w:rsid w:val="00160A8C"/>
    <w:rsid w:val="001637DF"/>
    <w:rsid w:val="001700B4"/>
    <w:rsid w:val="00171070"/>
    <w:rsid w:val="00171482"/>
    <w:rsid w:val="001A416A"/>
    <w:rsid w:val="001A6118"/>
    <w:rsid w:val="001B0364"/>
    <w:rsid w:val="001B0B8E"/>
    <w:rsid w:val="001B342F"/>
    <w:rsid w:val="001B3FE5"/>
    <w:rsid w:val="001C1259"/>
    <w:rsid w:val="001D1DA7"/>
    <w:rsid w:val="001D793F"/>
    <w:rsid w:val="001E17E4"/>
    <w:rsid w:val="001E2410"/>
    <w:rsid w:val="001E347C"/>
    <w:rsid w:val="001E6110"/>
    <w:rsid w:val="001F18AA"/>
    <w:rsid w:val="001F3C4D"/>
    <w:rsid w:val="0020201F"/>
    <w:rsid w:val="002033EA"/>
    <w:rsid w:val="00214046"/>
    <w:rsid w:val="0022561F"/>
    <w:rsid w:val="00232DBE"/>
    <w:rsid w:val="002355E7"/>
    <w:rsid w:val="00235F73"/>
    <w:rsid w:val="0023681E"/>
    <w:rsid w:val="00241FEC"/>
    <w:rsid w:val="00243562"/>
    <w:rsid w:val="0025164A"/>
    <w:rsid w:val="00265C3D"/>
    <w:rsid w:val="00266C2E"/>
    <w:rsid w:val="00270DF8"/>
    <w:rsid w:val="0027311A"/>
    <w:rsid w:val="002754B3"/>
    <w:rsid w:val="0028208C"/>
    <w:rsid w:val="0028392B"/>
    <w:rsid w:val="002934F2"/>
    <w:rsid w:val="002A3A19"/>
    <w:rsid w:val="002A3ED4"/>
    <w:rsid w:val="002A7274"/>
    <w:rsid w:val="002B2833"/>
    <w:rsid w:val="002B7BA1"/>
    <w:rsid w:val="002C01BB"/>
    <w:rsid w:val="002C3FA4"/>
    <w:rsid w:val="002C5570"/>
    <w:rsid w:val="002D3ADC"/>
    <w:rsid w:val="002E2161"/>
    <w:rsid w:val="002E30F2"/>
    <w:rsid w:val="002E4E72"/>
    <w:rsid w:val="002F0CE0"/>
    <w:rsid w:val="002F4570"/>
    <w:rsid w:val="002F4ED9"/>
    <w:rsid w:val="002F75FE"/>
    <w:rsid w:val="002F7FA5"/>
    <w:rsid w:val="003017F4"/>
    <w:rsid w:val="00301AAB"/>
    <w:rsid w:val="00306B68"/>
    <w:rsid w:val="003129FE"/>
    <w:rsid w:val="00314044"/>
    <w:rsid w:val="003322AC"/>
    <w:rsid w:val="00335342"/>
    <w:rsid w:val="0034028A"/>
    <w:rsid w:val="00343A8E"/>
    <w:rsid w:val="00345713"/>
    <w:rsid w:val="003566B9"/>
    <w:rsid w:val="00356C98"/>
    <w:rsid w:val="0036367B"/>
    <w:rsid w:val="0036496C"/>
    <w:rsid w:val="00365414"/>
    <w:rsid w:val="00372734"/>
    <w:rsid w:val="00372A33"/>
    <w:rsid w:val="0037374A"/>
    <w:rsid w:val="00377A88"/>
    <w:rsid w:val="003904DE"/>
    <w:rsid w:val="003929B0"/>
    <w:rsid w:val="00392E2B"/>
    <w:rsid w:val="00395ED4"/>
    <w:rsid w:val="003A396F"/>
    <w:rsid w:val="003A68FD"/>
    <w:rsid w:val="003A7A18"/>
    <w:rsid w:val="003B3187"/>
    <w:rsid w:val="003B327A"/>
    <w:rsid w:val="003B4612"/>
    <w:rsid w:val="003B76D2"/>
    <w:rsid w:val="003D6D41"/>
    <w:rsid w:val="003E20E6"/>
    <w:rsid w:val="003E3B0A"/>
    <w:rsid w:val="0040581D"/>
    <w:rsid w:val="00417BF3"/>
    <w:rsid w:val="00425D21"/>
    <w:rsid w:val="00426463"/>
    <w:rsid w:val="00427875"/>
    <w:rsid w:val="004317A0"/>
    <w:rsid w:val="0043556D"/>
    <w:rsid w:val="0043739B"/>
    <w:rsid w:val="00441579"/>
    <w:rsid w:val="004418B5"/>
    <w:rsid w:val="00445789"/>
    <w:rsid w:val="00454124"/>
    <w:rsid w:val="00463FB8"/>
    <w:rsid w:val="00480A2F"/>
    <w:rsid w:val="00480B47"/>
    <w:rsid w:val="00481F19"/>
    <w:rsid w:val="00487BC0"/>
    <w:rsid w:val="00490FF8"/>
    <w:rsid w:val="004A1851"/>
    <w:rsid w:val="004B337A"/>
    <w:rsid w:val="004B5538"/>
    <w:rsid w:val="004C3127"/>
    <w:rsid w:val="004D27C3"/>
    <w:rsid w:val="004D44D2"/>
    <w:rsid w:val="004D491E"/>
    <w:rsid w:val="004E3E51"/>
    <w:rsid w:val="004E625A"/>
    <w:rsid w:val="004F73BD"/>
    <w:rsid w:val="00502474"/>
    <w:rsid w:val="00515110"/>
    <w:rsid w:val="00523062"/>
    <w:rsid w:val="00532434"/>
    <w:rsid w:val="00537019"/>
    <w:rsid w:val="0054271B"/>
    <w:rsid w:val="00545281"/>
    <w:rsid w:val="00551A39"/>
    <w:rsid w:val="00566585"/>
    <w:rsid w:val="00580A2F"/>
    <w:rsid w:val="005A2CB7"/>
    <w:rsid w:val="005B15C7"/>
    <w:rsid w:val="005B51EA"/>
    <w:rsid w:val="005C08D0"/>
    <w:rsid w:val="005C6B92"/>
    <w:rsid w:val="005D42FD"/>
    <w:rsid w:val="005F4CC9"/>
    <w:rsid w:val="0060056E"/>
    <w:rsid w:val="006039C9"/>
    <w:rsid w:val="00605602"/>
    <w:rsid w:val="00605D22"/>
    <w:rsid w:val="00620A03"/>
    <w:rsid w:val="00621126"/>
    <w:rsid w:val="0062145A"/>
    <w:rsid w:val="00633C60"/>
    <w:rsid w:val="00645C9F"/>
    <w:rsid w:val="00650775"/>
    <w:rsid w:val="0065388D"/>
    <w:rsid w:val="00655506"/>
    <w:rsid w:val="00674396"/>
    <w:rsid w:val="006849AD"/>
    <w:rsid w:val="006853A7"/>
    <w:rsid w:val="0069507F"/>
    <w:rsid w:val="006955DD"/>
    <w:rsid w:val="00697A98"/>
    <w:rsid w:val="006A0492"/>
    <w:rsid w:val="006A3DED"/>
    <w:rsid w:val="006A6E23"/>
    <w:rsid w:val="006B05FF"/>
    <w:rsid w:val="006C4D2E"/>
    <w:rsid w:val="006D3D60"/>
    <w:rsid w:val="006E1F9C"/>
    <w:rsid w:val="006E4A2C"/>
    <w:rsid w:val="006E4BCE"/>
    <w:rsid w:val="006E721A"/>
    <w:rsid w:val="006F0E11"/>
    <w:rsid w:val="006F40C8"/>
    <w:rsid w:val="00700872"/>
    <w:rsid w:val="00706BB4"/>
    <w:rsid w:val="00714029"/>
    <w:rsid w:val="007203B6"/>
    <w:rsid w:val="007222C1"/>
    <w:rsid w:val="00725205"/>
    <w:rsid w:val="0074091B"/>
    <w:rsid w:val="00740927"/>
    <w:rsid w:val="00744302"/>
    <w:rsid w:val="00747C60"/>
    <w:rsid w:val="007732EA"/>
    <w:rsid w:val="00777EA3"/>
    <w:rsid w:val="00786782"/>
    <w:rsid w:val="007918BB"/>
    <w:rsid w:val="007933F9"/>
    <w:rsid w:val="00793C7B"/>
    <w:rsid w:val="007954B6"/>
    <w:rsid w:val="007A5E22"/>
    <w:rsid w:val="007B3768"/>
    <w:rsid w:val="007B5395"/>
    <w:rsid w:val="007C38FB"/>
    <w:rsid w:val="007C6434"/>
    <w:rsid w:val="007D4E4C"/>
    <w:rsid w:val="007D5F13"/>
    <w:rsid w:val="007D69F8"/>
    <w:rsid w:val="007E4819"/>
    <w:rsid w:val="007E4E03"/>
    <w:rsid w:val="007E7289"/>
    <w:rsid w:val="00805F3F"/>
    <w:rsid w:val="00807B52"/>
    <w:rsid w:val="00817A5D"/>
    <w:rsid w:val="00821209"/>
    <w:rsid w:val="00821491"/>
    <w:rsid w:val="00831411"/>
    <w:rsid w:val="00842536"/>
    <w:rsid w:val="00843692"/>
    <w:rsid w:val="0085135B"/>
    <w:rsid w:val="0085287C"/>
    <w:rsid w:val="008534BE"/>
    <w:rsid w:val="00854799"/>
    <w:rsid w:val="008559B6"/>
    <w:rsid w:val="008559FD"/>
    <w:rsid w:val="00855E65"/>
    <w:rsid w:val="0085612E"/>
    <w:rsid w:val="00877DF6"/>
    <w:rsid w:val="00880868"/>
    <w:rsid w:val="00880D30"/>
    <w:rsid w:val="008811AD"/>
    <w:rsid w:val="008812FA"/>
    <w:rsid w:val="008B222B"/>
    <w:rsid w:val="008C138F"/>
    <w:rsid w:val="008C204C"/>
    <w:rsid w:val="008C2625"/>
    <w:rsid w:val="008C4FE2"/>
    <w:rsid w:val="008D319D"/>
    <w:rsid w:val="008D4D6A"/>
    <w:rsid w:val="008D5921"/>
    <w:rsid w:val="008F7014"/>
    <w:rsid w:val="00904643"/>
    <w:rsid w:val="009049E9"/>
    <w:rsid w:val="00907F9B"/>
    <w:rsid w:val="00911503"/>
    <w:rsid w:val="00917C2D"/>
    <w:rsid w:val="009209B6"/>
    <w:rsid w:val="009221E8"/>
    <w:rsid w:val="00923CB4"/>
    <w:rsid w:val="009335E0"/>
    <w:rsid w:val="00941732"/>
    <w:rsid w:val="009510F3"/>
    <w:rsid w:val="00954018"/>
    <w:rsid w:val="00955590"/>
    <w:rsid w:val="009674E4"/>
    <w:rsid w:val="00970435"/>
    <w:rsid w:val="009704EC"/>
    <w:rsid w:val="00971619"/>
    <w:rsid w:val="00982EAB"/>
    <w:rsid w:val="0098505E"/>
    <w:rsid w:val="0099026D"/>
    <w:rsid w:val="00991480"/>
    <w:rsid w:val="009945A7"/>
    <w:rsid w:val="00995E63"/>
    <w:rsid w:val="0099643D"/>
    <w:rsid w:val="009969DC"/>
    <w:rsid w:val="00996BA5"/>
    <w:rsid w:val="009A0F79"/>
    <w:rsid w:val="009A3C75"/>
    <w:rsid w:val="009B03F2"/>
    <w:rsid w:val="009C4EE2"/>
    <w:rsid w:val="009D46B1"/>
    <w:rsid w:val="009D6FE9"/>
    <w:rsid w:val="009E7835"/>
    <w:rsid w:val="009E7F6E"/>
    <w:rsid w:val="009F2B6A"/>
    <w:rsid w:val="009F5541"/>
    <w:rsid w:val="00A01204"/>
    <w:rsid w:val="00A022BA"/>
    <w:rsid w:val="00A256AC"/>
    <w:rsid w:val="00A32BE3"/>
    <w:rsid w:val="00A4207A"/>
    <w:rsid w:val="00A4657D"/>
    <w:rsid w:val="00A53D72"/>
    <w:rsid w:val="00A5653E"/>
    <w:rsid w:val="00A63533"/>
    <w:rsid w:val="00A723C4"/>
    <w:rsid w:val="00A72D2B"/>
    <w:rsid w:val="00A820E9"/>
    <w:rsid w:val="00A82942"/>
    <w:rsid w:val="00A83E24"/>
    <w:rsid w:val="00AA20F8"/>
    <w:rsid w:val="00AA327B"/>
    <w:rsid w:val="00AA55AF"/>
    <w:rsid w:val="00AB19A5"/>
    <w:rsid w:val="00AC2FD6"/>
    <w:rsid w:val="00AC78FC"/>
    <w:rsid w:val="00AD0EBC"/>
    <w:rsid w:val="00AD4CFE"/>
    <w:rsid w:val="00AE79BA"/>
    <w:rsid w:val="00AF350E"/>
    <w:rsid w:val="00AF3D8F"/>
    <w:rsid w:val="00AF5273"/>
    <w:rsid w:val="00AF5D3D"/>
    <w:rsid w:val="00B0671C"/>
    <w:rsid w:val="00B13495"/>
    <w:rsid w:val="00B25E11"/>
    <w:rsid w:val="00B262DD"/>
    <w:rsid w:val="00B278DE"/>
    <w:rsid w:val="00B30287"/>
    <w:rsid w:val="00B30EBD"/>
    <w:rsid w:val="00B351C3"/>
    <w:rsid w:val="00B36AC9"/>
    <w:rsid w:val="00B36E7A"/>
    <w:rsid w:val="00B444FE"/>
    <w:rsid w:val="00B542CD"/>
    <w:rsid w:val="00B6465B"/>
    <w:rsid w:val="00B772D7"/>
    <w:rsid w:val="00B85451"/>
    <w:rsid w:val="00B86006"/>
    <w:rsid w:val="00B86D86"/>
    <w:rsid w:val="00BA2A96"/>
    <w:rsid w:val="00BA5FE5"/>
    <w:rsid w:val="00BC1FD9"/>
    <w:rsid w:val="00BC30FF"/>
    <w:rsid w:val="00BC500D"/>
    <w:rsid w:val="00BD7FD7"/>
    <w:rsid w:val="00BF1606"/>
    <w:rsid w:val="00BF1647"/>
    <w:rsid w:val="00BF5A25"/>
    <w:rsid w:val="00C06428"/>
    <w:rsid w:val="00C11347"/>
    <w:rsid w:val="00C35018"/>
    <w:rsid w:val="00C40A34"/>
    <w:rsid w:val="00C41E1E"/>
    <w:rsid w:val="00C4484E"/>
    <w:rsid w:val="00C46F7C"/>
    <w:rsid w:val="00C519B5"/>
    <w:rsid w:val="00C55EDB"/>
    <w:rsid w:val="00C573E9"/>
    <w:rsid w:val="00C729DA"/>
    <w:rsid w:val="00C764B7"/>
    <w:rsid w:val="00C90B56"/>
    <w:rsid w:val="00CA3F25"/>
    <w:rsid w:val="00CB5B9D"/>
    <w:rsid w:val="00CB6428"/>
    <w:rsid w:val="00CC01A5"/>
    <w:rsid w:val="00CC2134"/>
    <w:rsid w:val="00CD255A"/>
    <w:rsid w:val="00D1213C"/>
    <w:rsid w:val="00D126EC"/>
    <w:rsid w:val="00D14955"/>
    <w:rsid w:val="00D2003A"/>
    <w:rsid w:val="00D24CD6"/>
    <w:rsid w:val="00D24FA6"/>
    <w:rsid w:val="00D27127"/>
    <w:rsid w:val="00D544D2"/>
    <w:rsid w:val="00D660F8"/>
    <w:rsid w:val="00D744C5"/>
    <w:rsid w:val="00D827AF"/>
    <w:rsid w:val="00D83D18"/>
    <w:rsid w:val="00D8451F"/>
    <w:rsid w:val="00D8474D"/>
    <w:rsid w:val="00D84D5B"/>
    <w:rsid w:val="00D86771"/>
    <w:rsid w:val="00D90C73"/>
    <w:rsid w:val="00D90F17"/>
    <w:rsid w:val="00D93DD5"/>
    <w:rsid w:val="00D9480E"/>
    <w:rsid w:val="00D94FFD"/>
    <w:rsid w:val="00DA7038"/>
    <w:rsid w:val="00DB4AF2"/>
    <w:rsid w:val="00DB572A"/>
    <w:rsid w:val="00DC14B3"/>
    <w:rsid w:val="00DC399C"/>
    <w:rsid w:val="00DC7D6D"/>
    <w:rsid w:val="00DD2999"/>
    <w:rsid w:val="00DD2B43"/>
    <w:rsid w:val="00DD2CF8"/>
    <w:rsid w:val="00DD5C58"/>
    <w:rsid w:val="00DE240B"/>
    <w:rsid w:val="00DE529C"/>
    <w:rsid w:val="00DE6D9E"/>
    <w:rsid w:val="00DF3482"/>
    <w:rsid w:val="00DF450F"/>
    <w:rsid w:val="00E04A58"/>
    <w:rsid w:val="00E07204"/>
    <w:rsid w:val="00E07425"/>
    <w:rsid w:val="00E07A05"/>
    <w:rsid w:val="00E16025"/>
    <w:rsid w:val="00E167FD"/>
    <w:rsid w:val="00E16F50"/>
    <w:rsid w:val="00E24179"/>
    <w:rsid w:val="00E31783"/>
    <w:rsid w:val="00E36636"/>
    <w:rsid w:val="00E37B17"/>
    <w:rsid w:val="00E43A34"/>
    <w:rsid w:val="00E44D37"/>
    <w:rsid w:val="00E52850"/>
    <w:rsid w:val="00E609A5"/>
    <w:rsid w:val="00E61928"/>
    <w:rsid w:val="00E656D2"/>
    <w:rsid w:val="00E7276C"/>
    <w:rsid w:val="00E84382"/>
    <w:rsid w:val="00E87BE9"/>
    <w:rsid w:val="00E90E59"/>
    <w:rsid w:val="00E9180B"/>
    <w:rsid w:val="00EA0646"/>
    <w:rsid w:val="00EA2BA4"/>
    <w:rsid w:val="00EA3103"/>
    <w:rsid w:val="00EB10EA"/>
    <w:rsid w:val="00EB15C1"/>
    <w:rsid w:val="00EC325A"/>
    <w:rsid w:val="00EC3A8E"/>
    <w:rsid w:val="00EC57F0"/>
    <w:rsid w:val="00ED68AF"/>
    <w:rsid w:val="00EF2E7C"/>
    <w:rsid w:val="00F01A6E"/>
    <w:rsid w:val="00F11811"/>
    <w:rsid w:val="00F20178"/>
    <w:rsid w:val="00F23C6C"/>
    <w:rsid w:val="00F24BC8"/>
    <w:rsid w:val="00F25045"/>
    <w:rsid w:val="00F30F3E"/>
    <w:rsid w:val="00F32002"/>
    <w:rsid w:val="00F4605D"/>
    <w:rsid w:val="00F51EF5"/>
    <w:rsid w:val="00F74928"/>
    <w:rsid w:val="00F778B9"/>
    <w:rsid w:val="00F8197E"/>
    <w:rsid w:val="00F833B1"/>
    <w:rsid w:val="00F87D90"/>
    <w:rsid w:val="00F90495"/>
    <w:rsid w:val="00FA4179"/>
    <w:rsid w:val="00FB4362"/>
    <w:rsid w:val="00FB53A1"/>
    <w:rsid w:val="00FD30CF"/>
    <w:rsid w:val="00FE0E46"/>
    <w:rsid w:val="00FF0AEC"/>
    <w:rsid w:val="00FF1DF4"/>
    <w:rsid w:val="00FF4165"/>
    <w:rsid w:val="012864FC"/>
    <w:rsid w:val="01826A17"/>
    <w:rsid w:val="06155CFB"/>
    <w:rsid w:val="09616F12"/>
    <w:rsid w:val="0A56459C"/>
    <w:rsid w:val="0EE83C31"/>
    <w:rsid w:val="10F863AD"/>
    <w:rsid w:val="113741D2"/>
    <w:rsid w:val="13070B2A"/>
    <w:rsid w:val="184459BE"/>
    <w:rsid w:val="190D2C12"/>
    <w:rsid w:val="1B5366E0"/>
    <w:rsid w:val="1D34261E"/>
    <w:rsid w:val="1EFC297D"/>
    <w:rsid w:val="1F4629DA"/>
    <w:rsid w:val="226713BB"/>
    <w:rsid w:val="2573498E"/>
    <w:rsid w:val="257A518B"/>
    <w:rsid w:val="25D53E1D"/>
    <w:rsid w:val="27CE17BE"/>
    <w:rsid w:val="29E928DF"/>
    <w:rsid w:val="2EEE2746"/>
    <w:rsid w:val="31077AEF"/>
    <w:rsid w:val="31CF549D"/>
    <w:rsid w:val="382B0567"/>
    <w:rsid w:val="38DB3D3B"/>
    <w:rsid w:val="3C7F70D3"/>
    <w:rsid w:val="46A71700"/>
    <w:rsid w:val="4DB82445"/>
    <w:rsid w:val="4EDF13E6"/>
    <w:rsid w:val="4F31425D"/>
    <w:rsid w:val="527E074E"/>
    <w:rsid w:val="579503FF"/>
    <w:rsid w:val="5ECC5D50"/>
    <w:rsid w:val="60535296"/>
    <w:rsid w:val="607F732C"/>
    <w:rsid w:val="636522D0"/>
    <w:rsid w:val="64A643C4"/>
    <w:rsid w:val="666B5E4F"/>
    <w:rsid w:val="6A362A14"/>
    <w:rsid w:val="6A6E3115"/>
    <w:rsid w:val="6B657311"/>
    <w:rsid w:val="6BC92EDE"/>
    <w:rsid w:val="6C770E7C"/>
    <w:rsid w:val="72FD2525"/>
    <w:rsid w:val="73243F55"/>
    <w:rsid w:val="7394437D"/>
    <w:rsid w:val="75575F1C"/>
    <w:rsid w:val="7A8F7F06"/>
    <w:rsid w:val="7BF117AB"/>
    <w:rsid w:val="7C18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link w:val="27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link w:val="29"/>
    <w:uiPriority w:val="0"/>
    <w:pPr>
      <w:jc w:val="left"/>
    </w:pPr>
    <w:rPr>
      <w:rFonts w:ascii="Calibri" w:hAnsi="Calibri" w:eastAsia="宋体" w:cs="Times New Roman"/>
      <w:lang w:val="en-US" w:eastAsia="zh-CN" w:bidi="ar-SA"/>
    </w:rPr>
  </w:style>
  <w:style w:type="paragraph" w:styleId="4">
    <w:name w:val="Balloon Text"/>
    <w:link w:val="26"/>
    <w:qFormat/>
    <w:uiPriority w:val="0"/>
    <w:rPr>
      <w:rFonts w:ascii="Calibri" w:hAnsi="Calibri" w:eastAsia="宋体" w:cs="Times New Roman"/>
      <w:sz w:val="18"/>
      <w:szCs w:val="18"/>
      <w:lang w:val="en-US" w:eastAsia="zh-CN" w:bidi="ar-SA"/>
    </w:rPr>
  </w:style>
  <w:style w:type="paragraph" w:styleId="5">
    <w:name w:val="footer"/>
    <w:link w:val="24"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  <w:lang w:val="en-US" w:eastAsia="zh-CN" w:bidi="ar-SA"/>
    </w:rPr>
  </w:style>
  <w:style w:type="paragraph" w:styleId="6">
    <w:name w:val="header"/>
    <w:link w:val="25"/>
    <w:uiPriority w:val="0"/>
    <w:pPr>
      <w:pBdr>
        <w:bottom w:val="single" w:color="auto" w:sz="6" w:space="1"/>
      </w:pBdr>
      <w:snapToGrid w:val="0"/>
      <w:jc w:val="center"/>
    </w:pPr>
    <w:rPr>
      <w:rFonts w:ascii="Calibri" w:hAnsi="Calibri" w:eastAsia="宋体" w:cs="Times New Roman"/>
      <w:sz w:val="18"/>
      <w:szCs w:val="18"/>
      <w:lang w:val="en-US" w:eastAsia="zh-CN" w:bidi="ar-SA"/>
    </w:rPr>
  </w:style>
  <w:style w:type="paragraph" w:styleId="7">
    <w:name w:val="annotation subject"/>
    <w:link w:val="30"/>
    <w:autoRedefine/>
    <w:qFormat/>
    <w:uiPriority w:val="0"/>
    <w:rPr>
      <w:rFonts w:ascii="Calibri" w:hAnsi="Calibri" w:eastAsia="宋体" w:cs="Times New Roman"/>
      <w:b/>
      <w:bCs/>
      <w:lang w:val="en-US" w:eastAsia="zh-CN" w:bidi="ar-SA"/>
    </w:rPr>
  </w:style>
  <w:style w:type="character" w:styleId="10">
    <w:name w:val="line number"/>
    <w:autoRedefine/>
    <w:qFormat/>
    <w:uiPriority w:val="0"/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Char"/>
    <w:link w:val="5"/>
    <w:autoRedefine/>
    <w:qFormat/>
    <w:uiPriority w:val="0"/>
    <w:rPr>
      <w:sz w:val="18"/>
      <w:szCs w:val="18"/>
    </w:rPr>
  </w:style>
  <w:style w:type="character" w:customStyle="1" w:styleId="13">
    <w:name w:val="页眉 Char"/>
    <w:link w:val="6"/>
    <w:autoRedefine/>
    <w:qFormat/>
    <w:uiPriority w:val="0"/>
    <w:rPr>
      <w:sz w:val="18"/>
      <w:szCs w:val="18"/>
    </w:rPr>
  </w:style>
  <w:style w:type="paragraph" w:styleId="14">
    <w:name w:val="List Paragraph"/>
    <w:autoRedefine/>
    <w:qFormat/>
    <w:uiPriority w:val="0"/>
    <w:pPr>
      <w:ind w:firstLine="420" w:firstLineChars="200"/>
    </w:pPr>
    <w:rPr>
      <w:rFonts w:ascii="Calibri" w:hAnsi="Calibri" w:eastAsia="宋体" w:cs="Times New Roman"/>
      <w:lang w:val="en-US" w:eastAsia="zh-CN" w:bidi="ar-SA"/>
    </w:rPr>
  </w:style>
  <w:style w:type="character" w:customStyle="1" w:styleId="15">
    <w:name w:val="批注框文本 Char"/>
    <w:link w:val="4"/>
    <w:autoRedefine/>
    <w:qFormat/>
    <w:uiPriority w:val="0"/>
    <w:rPr>
      <w:kern w:val="2"/>
      <w:sz w:val="18"/>
      <w:szCs w:val="18"/>
    </w:rPr>
  </w:style>
  <w:style w:type="character" w:customStyle="1" w:styleId="16">
    <w:name w:val="标题 1 Char"/>
    <w:link w:val="2"/>
    <w:autoRedefine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customStyle="1" w:styleId="17">
    <w:name w:val="TOC 标题1"/>
    <w:basedOn w:val="2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8">
    <w:name w:val="批注文字 Char"/>
    <w:link w:val="3"/>
    <w:autoRedefine/>
    <w:qFormat/>
    <w:uiPriority w:val="0"/>
    <w:rPr>
      <w:kern w:val="2"/>
      <w:sz w:val="21"/>
      <w:szCs w:val="22"/>
    </w:rPr>
  </w:style>
  <w:style w:type="character" w:customStyle="1" w:styleId="19">
    <w:name w:val="批注主题 Char"/>
    <w:link w:val="7"/>
    <w:autoRedefine/>
    <w:qFormat/>
    <w:uiPriority w:val="0"/>
    <w:rPr>
      <w:b/>
      <w:bCs/>
      <w:kern w:val="2"/>
      <w:sz w:val="21"/>
      <w:szCs w:val="22"/>
    </w:rPr>
  </w:style>
  <w:style w:type="character" w:customStyle="1" w:styleId="20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1">
    <w:name w:val="fontstyle21"/>
    <w:autoRedefine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2">
    <w:name w:val="fontstyle11"/>
    <w:autoRedefine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3">
    <w:name w:val="fontstyle31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4">
    <w:name w:val="页脚 Char1"/>
    <w:link w:val="5"/>
    <w:autoRedefine/>
    <w:uiPriority w:val="0"/>
    <w:rPr>
      <w:sz w:val="18"/>
      <w:szCs w:val="18"/>
    </w:rPr>
  </w:style>
  <w:style w:type="character" w:customStyle="1" w:styleId="25">
    <w:name w:val="页眉 Char1"/>
    <w:link w:val="6"/>
    <w:autoRedefine/>
    <w:qFormat/>
    <w:uiPriority w:val="0"/>
    <w:rPr>
      <w:sz w:val="18"/>
      <w:szCs w:val="18"/>
    </w:rPr>
  </w:style>
  <w:style w:type="character" w:customStyle="1" w:styleId="26">
    <w:name w:val="批注框文本 Char1"/>
    <w:link w:val="4"/>
    <w:autoRedefine/>
    <w:qFormat/>
    <w:uiPriority w:val="0"/>
    <w:rPr>
      <w:kern w:val="2"/>
      <w:sz w:val="18"/>
      <w:szCs w:val="18"/>
    </w:rPr>
  </w:style>
  <w:style w:type="character" w:customStyle="1" w:styleId="27">
    <w:name w:val="标题 1 Char1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customStyle="1" w:styleId="28">
    <w:name w:val="TOC 标题11"/>
    <w:autoRedefine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en-US" w:eastAsia="zh-CN" w:bidi="ar-SA"/>
    </w:rPr>
  </w:style>
  <w:style w:type="character" w:customStyle="1" w:styleId="29">
    <w:name w:val="批注文字 Char1"/>
    <w:link w:val="3"/>
    <w:qFormat/>
    <w:uiPriority w:val="0"/>
    <w:rPr>
      <w:kern w:val="2"/>
      <w:sz w:val="21"/>
      <w:szCs w:val="22"/>
    </w:rPr>
  </w:style>
  <w:style w:type="character" w:customStyle="1" w:styleId="30">
    <w:name w:val="批注主题 Char1"/>
    <w:link w:val="7"/>
    <w:autoRedefine/>
    <w:qFormat/>
    <w:uiPriority w:val="0"/>
    <w:rPr>
      <w:b/>
      <w:bCs/>
      <w:kern w:val="2"/>
      <w:sz w:val="21"/>
      <w:szCs w:val="22"/>
    </w:rPr>
  </w:style>
  <w:style w:type="character" w:customStyle="1" w:styleId="31">
    <w:name w:val="fontstyle01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32">
    <w:name w:val="fontstyle211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33">
    <w:name w:val="fontstyle111"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34">
    <w:name w:val="fontstyle311"/>
    <w:qFormat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</Company>
  <Pages>25</Pages>
  <Words>1359</Words>
  <Characters>7749</Characters>
  <Lines>64</Lines>
  <Paragraphs>18</Paragraphs>
  <TotalTime>301</TotalTime>
  <ScaleCrop>false</ScaleCrop>
  <LinksUpToDate>false</LinksUpToDate>
  <CharactersWithSpaces>9090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2024-01-30T09:03:00Z</dcterms:created>
  <dc:creator>home</dc:creator>
  <cp:lastModifiedBy>Administrator</cp:lastModifiedBy>
  <dcterms:modified xsi:type="dcterms:W3CDTF">2024-04-03T08:06:33Z</dcterms:modified>
  <cp:revision>160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75C4C2D3214F446CA30E7BBF11B192CE_13</vt:lpwstr>
  </property>
</Properties>
</file>