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21"/>
          <w:szCs w:val="44"/>
          <w:u w:val="none"/>
        </w:rPr>
        <w:t>目  录</w:t>
      </w:r>
    </w:p>
    <w:p>
      <w:pPr>
        <w:spacing w:line="660" w:lineRule="exact"/>
        <w:rPr>
          <w:rFonts w:ascii="宋体" w:hAnsi="宋体" w:cs="宋体"/>
          <w:b w:val="0"/>
          <w:bCs/>
          <w:i w:val="0"/>
          <w:color w:val="000000"/>
          <w:kern w:val="0"/>
          <w:sz w:val="21"/>
          <w:szCs w:val="44"/>
          <w:u w:val="none"/>
        </w:rPr>
      </w:pPr>
    </w:p>
    <w:p>
      <w:pPr>
        <w:spacing w:line="30" w:lineRule="exact"/>
        <w:rPr>
          <w:rFonts w:ascii="黑体" w:eastAsia="黑体"/>
          <w:b w:val="0"/>
          <w:i w:val="0"/>
          <w:color w:val="000000"/>
          <w:sz w:val="21"/>
          <w:szCs w:val="18"/>
          <w:u w:val="none"/>
        </w:rPr>
      </w:pPr>
    </w:p>
    <w:p>
      <w:pPr>
        <w:spacing w:line="560" w:lineRule="exact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第一部分 部门/单位基本概况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部门/单位职责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二、机构设置情况</w:t>
      </w:r>
    </w:p>
    <w:p>
      <w:pPr>
        <w:spacing w:line="560" w:lineRule="exact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第二部分 2024年部门/单位预算情况说明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一、收支总体情况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二、一般公共预算情况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三、一般公共预算财政拨款“三公”经费、培训费、会议费等情况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四、一般公共预算财政拨款机关运行经费情况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五、政府采购安排情况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六、国有资产占用情况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七、其他重要事项情况说明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八、预算绩效管理情况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九、名词解释</w:t>
      </w:r>
    </w:p>
    <w:p>
      <w:pPr>
        <w:spacing w:line="560" w:lineRule="exact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第三部分 2024年部门（单位）预算公开表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一、部门/单位收支总体情况表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二、部门/单位收入总体情况表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三、部门/单位支出总体情况表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四、财政拨款收支总体情况表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五、财政拨款支出表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六、一般公共预算支出情况表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七、一般公共预算基本支出情况表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八、</w:t>
      </w:r>
      <w:r>
        <w:rPr>
          <w:rFonts w:hint="eastAsia" w:ascii="仿宋_GB2312" w:hAnsi="仿宋" w:eastAsia="仿宋_GB2312"/>
          <w:b w:val="0"/>
          <w:i w:val="0"/>
          <w:color w:val="000000"/>
          <w:spacing w:val="-20"/>
          <w:sz w:val="21"/>
          <w:szCs w:val="30"/>
          <w:u w:val="none"/>
        </w:rPr>
        <w:t>一般公共预算财政拨款“三公”经费、会议费、培训费支出情况表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九、一般公共预算财政拨款机关运行经费表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十、政府性基金预算支出情况表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十一、国有资本经营预算支出情况表</w:t>
      </w:r>
    </w:p>
    <w:p>
      <w:pPr>
        <w:spacing w:line="56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0"/>
          <w:u w:val="none"/>
        </w:rPr>
        <w:t>十二、部门/单位整体支出绩效目标表和项目支出绩效目标表</w:t>
      </w:r>
    </w:p>
    <w:p>
      <w:pPr>
        <w:spacing w:line="660" w:lineRule="exact"/>
        <w:rPr>
          <w:rFonts w:ascii="仿宋_GB2312" w:hAnsi="宋体" w:eastAsia="仿宋_GB2312" w:cs="宋体"/>
          <w:b w:val="0"/>
          <w:bCs/>
          <w:i w:val="0"/>
          <w:color w:val="000000"/>
          <w:kern w:val="0"/>
          <w:sz w:val="21"/>
          <w:szCs w:val="44"/>
          <w:u w:val="none"/>
        </w:rPr>
      </w:pPr>
    </w:p>
    <w:p>
      <w:pPr>
        <w:spacing w:line="600" w:lineRule="exact"/>
        <w:rPr>
          <w:rFonts w:ascii="仿宋_GB2312" w:hAnsi="仿宋" w:eastAsia="仿宋_GB2312" w:cs="宋体"/>
          <w:b w:val="0"/>
          <w:i w:val="0"/>
          <w:color w:val="000000"/>
          <w:kern w:val="0"/>
          <w:sz w:val="21"/>
          <w:szCs w:val="28"/>
          <w:u w:val="none"/>
        </w:rPr>
        <w:sectPr>
          <w:footerReference r:id="rId3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前言</w:t>
      </w:r>
    </w:p>
    <w:p>
      <w:pPr>
        <w:spacing w:line="600" w:lineRule="exact"/>
        <w:ind w:firstLine="42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财政部</w:t>
      </w:r>
      <w:r>
        <w:rPr>
          <w:rFonts w:hint="eastAsia" w:ascii="仿宋_GB2312" w:hAnsi="仿宋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spacing w:line="60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i w:val="0"/>
          <w:color w:val="000000"/>
          <w:kern w:val="0"/>
          <w:sz w:val="21"/>
          <w:szCs w:val="32"/>
          <w:u w:val="none"/>
        </w:rPr>
        <w:t>一、部门/单位职责</w:t>
      </w:r>
    </w:p>
    <w:p>
      <w:pPr>
        <w:spacing w:line="600" w:lineRule="exact"/>
        <w:rPr>
          <w:rFonts w:hint="eastAsia" w:ascii="仿宋_GB2312" w:hAnsi="仿宋" w:eastAsia="仿宋_GB2312" w:cs="宋体"/>
          <w:b w:val="0"/>
          <w:i w:val="0"/>
          <w:color w:val="000000"/>
          <w:kern w:val="0"/>
          <w:sz w:val="21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宋体"/>
          <w:b w:val="0"/>
          <w:i w:val="0"/>
          <w:color w:val="000000"/>
          <w:kern w:val="0"/>
          <w:sz w:val="21"/>
          <w:szCs w:val="32"/>
          <w:u w:val="none"/>
          <w:lang w:val="en-US" w:eastAsia="zh-CN"/>
        </w:rPr>
        <w:t>政治协商，参政议政，民主监督。</w:t>
      </w:r>
    </w:p>
    <w:p>
      <w:pPr>
        <w:spacing w:line="60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i w:val="0"/>
          <w:color w:val="000000"/>
          <w:kern w:val="0"/>
          <w:sz w:val="21"/>
          <w:szCs w:val="32"/>
          <w:u w:val="none"/>
        </w:rPr>
        <w:t>二、机构设置情况</w:t>
      </w:r>
    </w:p>
    <w:p>
      <w:pPr>
        <w:spacing w:line="600" w:lineRule="exact"/>
        <w:ind w:firstLine="210" w:firstLineChars="1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（一）机关内设机构</w:t>
      </w:r>
    </w:p>
    <w:p>
      <w:pPr>
        <w:ind w:firstLine="42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</w:rPr>
        <w:t>核定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  <w:lang w:eastAsia="zh-CN"/>
        </w:rPr>
        <w:t>公务员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</w:rPr>
        <w:t>编制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</w:rPr>
        <w:t>名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  <w:lang w:eastAsia="zh-CN"/>
        </w:rPr>
        <w:t>、事业编制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  <w:lang w:val="en-US" w:eastAsia="zh-CN"/>
        </w:rPr>
        <w:t>9名、工勤编制7名，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</w:rPr>
        <w:t>核定领导指数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</w:rPr>
        <w:t>名，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  <w:lang w:eastAsia="zh-CN"/>
        </w:rPr>
        <w:t>副县级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</w:rPr>
        <w:t>领导职数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</w:rPr>
        <w:t>名，</w:t>
      </w:r>
      <w:r>
        <w:rPr>
          <w:rFonts w:hint="eastAsia" w:ascii="仿宋" w:hAnsi="仿宋" w:eastAsia="仿宋" w:cs="仿宋"/>
          <w:b w:val="0"/>
          <w:i w:val="0"/>
          <w:color w:val="000000"/>
          <w:sz w:val="21"/>
          <w:u w:val="none"/>
        </w:rPr>
        <w:t>内设</w:t>
      </w:r>
      <w:r>
        <w:rPr>
          <w:rFonts w:hint="eastAsia" w:ascii="仿宋" w:hAnsi="仿宋" w:eastAsia="仿宋" w:cs="仿宋"/>
          <w:b w:val="0"/>
          <w:i w:val="0"/>
          <w:color w:val="000000"/>
          <w:sz w:val="21"/>
          <w:u w:val="none"/>
          <w:lang w:eastAsia="zh-CN"/>
        </w:rPr>
        <w:t>办公室、经济科技委员会、农业与农村工作委员会、民族宗教委员会、提案办理工作委员会、文史资料与学习宣传委员会</w:t>
      </w:r>
      <w:r>
        <w:rPr>
          <w:rFonts w:hint="eastAsia" w:ascii="仿宋" w:hAnsi="仿宋" w:eastAsia="仿宋" w:cs="仿宋"/>
          <w:b w:val="0"/>
          <w:i w:val="0"/>
          <w:color w:val="000000"/>
          <w:sz w:val="21"/>
          <w:u w:val="none"/>
        </w:rPr>
        <w:t>。</w:t>
      </w:r>
    </w:p>
    <w:p>
      <w:pPr>
        <w:spacing w:line="600" w:lineRule="exact"/>
        <w:ind w:firstLine="210" w:firstLineChars="1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（二）参照公务员法管理单位</w:t>
      </w:r>
    </w:p>
    <w:p>
      <w:pPr>
        <w:spacing w:line="600" w:lineRule="exact"/>
        <w:ind w:firstLine="42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  <w:lang w:eastAsia="zh-CN"/>
        </w:rPr>
        <w:t>本单位为行政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</w:rPr>
        <w:t>单位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1"/>
          <w:szCs w:val="32"/>
          <w:u w:val="none"/>
          <w:lang w:eastAsia="zh-CN"/>
        </w:rPr>
        <w:t>。</w:t>
      </w:r>
    </w:p>
    <w:p>
      <w:pPr>
        <w:spacing w:line="60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i w:val="0"/>
          <w:color w:val="000000"/>
          <w:kern w:val="0"/>
          <w:sz w:val="21"/>
          <w:szCs w:val="32"/>
          <w:u w:val="none"/>
        </w:rPr>
        <w:t>三、部门/单位收支总体情况</w:t>
      </w:r>
    </w:p>
    <w:p>
      <w:pPr>
        <w:spacing w:line="600" w:lineRule="exact"/>
        <w:ind w:firstLine="42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按照预算管理有关规定，2024年部门（单位）收支包括机关预算和直属单位预算在内的汇总情况。</w:t>
      </w:r>
    </w:p>
    <w:p>
      <w:pPr>
        <w:spacing w:line="60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2024年部门收支总预算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897.54</w:t>
      </w:r>
      <w:r>
        <w:rPr>
          <w:rFonts w:hint="eastAsia" w:ascii="仿宋_GB2312" w:hAnsi="仿宋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万元。按照综合预算的原则，部门（单位）所有收入和支出均纳入部门预算管理。收入包括：一般公共预算拨款收入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897.54</w:t>
      </w:r>
      <w:r>
        <w:rPr>
          <w:rFonts w:hint="eastAsia" w:ascii="仿宋_GB2312" w:hAnsi="仿宋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万元；支出包括：一般公共服务支出、社会保障和就业支出、住房保障支出、其他支出。</w:t>
      </w:r>
    </w:p>
    <w:p>
      <w:pPr>
        <w:spacing w:line="600" w:lineRule="exact"/>
        <w:ind w:firstLine="42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（一）收入预算</w:t>
      </w:r>
    </w:p>
    <w:p>
      <w:pPr>
        <w:widowControl/>
        <w:spacing w:line="560" w:lineRule="exact"/>
        <w:ind w:firstLine="630" w:firstLineChars="3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2024年收入预算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897.54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万元（详见部门/单位预算公开表1,2）。包括：一般公共预算收入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897.4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万元，占100%；</w:t>
      </w:r>
    </w:p>
    <w:p>
      <w:pPr>
        <w:adjustRightInd w:val="0"/>
        <w:snapToGrid w:val="0"/>
        <w:spacing w:line="640" w:lineRule="exact"/>
        <w:ind w:firstLine="420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（二）支出预算</w:t>
      </w:r>
    </w:p>
    <w:p>
      <w:pPr>
        <w:widowControl/>
        <w:adjustRightInd w:val="0"/>
        <w:snapToGrid w:val="0"/>
        <w:spacing w:line="640" w:lineRule="exact"/>
        <w:ind w:firstLine="630" w:firstLineChars="3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 xml:space="preserve">2024年支出预算 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897.54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万元（详见部门/单位预算公开表3）。</w:t>
      </w:r>
      <w:r>
        <w:rPr>
          <w:rStyle w:val="20"/>
          <w:rFonts w:hint="default" w:hAnsi="仿宋"/>
          <w:b w:val="0"/>
          <w:i w:val="0"/>
          <w:color w:val="000000"/>
          <w:sz w:val="21"/>
          <w:u w:val="none"/>
        </w:rPr>
        <w:t>其中：基本支出</w:t>
      </w:r>
      <w:r>
        <w:rPr>
          <w:rStyle w:val="20"/>
          <w:rFonts w:hint="eastAsia" w:hAnsi="仿宋" w:eastAsia="仿宋_GB2312"/>
          <w:b w:val="0"/>
          <w:i w:val="0"/>
          <w:color w:val="000000"/>
          <w:sz w:val="21"/>
          <w:u w:val="none"/>
          <w:lang w:val="en-US" w:eastAsia="zh-CN"/>
        </w:rPr>
        <w:t>897.54</w:t>
      </w:r>
      <w:r>
        <w:rPr>
          <w:rStyle w:val="20"/>
          <w:rFonts w:hint="default" w:hAnsi="仿宋"/>
          <w:b w:val="0"/>
          <w:i w:val="0"/>
          <w:color w:val="000000"/>
          <w:sz w:val="21"/>
          <w:u w:val="none"/>
        </w:rPr>
        <w:t>万元， 占100</w:t>
      </w:r>
      <w:r>
        <w:rPr>
          <w:rStyle w:val="21"/>
          <w:rFonts w:hint="eastAsia" w:ascii="仿宋_GB2312" w:hAnsi="仿宋" w:eastAsia="仿宋_GB2312"/>
          <w:b w:val="0"/>
          <w:i w:val="0"/>
          <w:color w:val="000000"/>
          <w:sz w:val="21"/>
          <w:u w:val="none"/>
        </w:rPr>
        <w:t>%</w:t>
      </w:r>
      <w:r>
        <w:rPr>
          <w:rStyle w:val="20"/>
          <w:rFonts w:hint="default" w:hAnsi="仿宋"/>
          <w:b w:val="0"/>
          <w:i w:val="0"/>
          <w:color w:val="000000"/>
          <w:sz w:val="21"/>
          <w:u w:val="none"/>
        </w:rPr>
        <w:t xml:space="preserve">； </w:t>
      </w:r>
    </w:p>
    <w:p>
      <w:pPr>
        <w:adjustRightInd w:val="0"/>
        <w:snapToGrid w:val="0"/>
        <w:spacing w:line="640" w:lineRule="exact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i w:val="0"/>
          <w:color w:val="000000"/>
          <w:kern w:val="0"/>
          <w:sz w:val="21"/>
          <w:szCs w:val="32"/>
          <w:u w:val="none"/>
        </w:rPr>
        <w:t>四、一般公共预算情况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Style w:val="21"/>
          <w:rFonts w:hint="eastAsia" w:ascii="仿宋_GB2312" w:hAnsi="仿宋" w:eastAsia="仿宋_GB2312"/>
          <w:b w:val="0"/>
          <w:i w:val="0"/>
          <w:color w:val="000000"/>
          <w:sz w:val="21"/>
          <w:u w:val="none"/>
        </w:rPr>
        <w:t xml:space="preserve">2024 </w:t>
      </w:r>
      <w:r>
        <w:rPr>
          <w:rStyle w:val="20"/>
          <w:rFonts w:hint="default" w:hAnsi="仿宋"/>
          <w:b w:val="0"/>
          <w:i w:val="0"/>
          <w:color w:val="000000"/>
          <w:sz w:val="21"/>
          <w:u w:val="none"/>
        </w:rPr>
        <w:t>年一般公共预算当年支出</w:t>
      </w:r>
      <w:r>
        <w:rPr>
          <w:rStyle w:val="20"/>
          <w:rFonts w:hint="eastAsia" w:hAnsi="仿宋" w:eastAsia="仿宋_GB2312"/>
          <w:b w:val="0"/>
          <w:i w:val="0"/>
          <w:color w:val="000000"/>
          <w:sz w:val="21"/>
          <w:u w:val="none"/>
          <w:lang w:val="en-US" w:eastAsia="zh-CN"/>
        </w:rPr>
        <w:t>897.54</w:t>
      </w:r>
      <w:r>
        <w:rPr>
          <w:rStyle w:val="20"/>
          <w:rFonts w:hint="default" w:hAnsi="仿宋"/>
          <w:b w:val="0"/>
          <w:i w:val="0"/>
          <w:color w:val="000000"/>
          <w:sz w:val="21"/>
          <w:u w:val="none"/>
        </w:rPr>
        <w:t>万元，包括：一般公共服务支出</w:t>
      </w:r>
      <w:r>
        <w:rPr>
          <w:rStyle w:val="20"/>
          <w:rFonts w:hint="eastAsia" w:hAnsi="仿宋" w:eastAsia="仿宋_GB2312"/>
          <w:b w:val="0"/>
          <w:i w:val="0"/>
          <w:color w:val="000000"/>
          <w:sz w:val="21"/>
          <w:u w:val="none"/>
          <w:lang w:val="en-US" w:eastAsia="zh-CN"/>
        </w:rPr>
        <w:t>897.54</w:t>
      </w:r>
      <w:r>
        <w:rPr>
          <w:rStyle w:val="20"/>
          <w:rFonts w:hint="default" w:hAnsi="仿宋"/>
          <w:b w:val="0"/>
          <w:i w:val="0"/>
          <w:color w:val="000000"/>
          <w:sz w:val="21"/>
          <w:u w:val="none"/>
        </w:rPr>
        <w:t>万元。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具体安排情况如下</w:t>
      </w:r>
      <w:r>
        <w:rPr>
          <w:rFonts w:hint="eastAsia" w:ascii="仿宋_GB2312" w:hAnsi="微软雅黑" w:eastAsia="仿宋_GB2312"/>
          <w:b w:val="0"/>
          <w:i w:val="0"/>
          <w:color w:val="000000"/>
          <w:sz w:val="21"/>
          <w:szCs w:val="32"/>
          <w:u w:val="none"/>
        </w:rPr>
        <w:t>（详见部门（单位）预算公开表4,5,6,7）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：</w:t>
      </w:r>
    </w:p>
    <w:p>
      <w:pPr>
        <w:spacing w:line="640" w:lineRule="exact"/>
        <w:ind w:firstLine="420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（一）基本支出</w:t>
      </w:r>
    </w:p>
    <w:p>
      <w:pPr>
        <w:widowControl/>
        <w:spacing w:line="640" w:lineRule="exact"/>
        <w:ind w:firstLine="42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2024年基本支出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897.54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万元，比2023年预算增加0万元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eastAsia="zh-CN"/>
        </w:rPr>
        <w:t>。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其中：人员经费支出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756.74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万元，主要包括：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、离休费、退休费、退职（役）费、抚恤金、生活补助、救济费、医疗费补助、助学金、奖励金、个人农业生产补贴、代缴社会保险费 、其他对个人和家庭的补助等。</w:t>
      </w:r>
    </w:p>
    <w:p>
      <w:pPr>
        <w:widowControl/>
        <w:adjustRightInd w:val="0"/>
        <w:snapToGrid w:val="0"/>
        <w:spacing w:line="640" w:lineRule="exact"/>
        <w:ind w:firstLine="42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公用经费支出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140.8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等。</w:t>
      </w:r>
    </w:p>
    <w:p>
      <w:pPr>
        <w:adjustRightInd w:val="0"/>
        <w:snapToGrid w:val="0"/>
        <w:spacing w:line="640" w:lineRule="exact"/>
        <w:ind w:firstLine="420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（二）项目支出</w:t>
      </w:r>
    </w:p>
    <w:p>
      <w:pPr>
        <w:widowControl/>
        <w:adjustRightInd w:val="0"/>
        <w:snapToGrid w:val="0"/>
        <w:spacing w:line="640" w:lineRule="exact"/>
        <w:ind w:firstLine="420" w:firstLineChars="200"/>
        <w:contextualSpacing/>
        <w:jc w:val="left"/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eastAsia="zh-CN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 xml:space="preserve">2024年一般公共预算财政拨款项目支出预算 0万元，比2023年预算增加（减少）0万元，增长（减少）0 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eastAsia="zh-CN"/>
        </w:rPr>
        <w:t>。</w:t>
      </w:r>
    </w:p>
    <w:p>
      <w:pPr>
        <w:widowControl/>
        <w:adjustRightInd w:val="0"/>
        <w:snapToGrid w:val="0"/>
        <w:spacing w:line="640" w:lineRule="exact"/>
        <w:ind w:firstLine="420" w:firstLineChars="200"/>
        <w:contextualSpacing/>
        <w:jc w:val="left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  <w:lang w:eastAsia="zh-CN"/>
        </w:rPr>
        <w:t>（三）</w:t>
      </w: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支出功能分类说明</w:t>
      </w:r>
    </w:p>
    <w:p>
      <w:pPr>
        <w:widowControl/>
        <w:adjustRightInd w:val="0"/>
        <w:snapToGrid w:val="0"/>
        <w:spacing w:line="640" w:lineRule="exact"/>
        <w:ind w:firstLine="420" w:firstLineChars="200"/>
        <w:contextualSpacing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NewRomanPS-BoldMT" w:eastAsia="仿宋_GB2312"/>
          <w:b w:val="0"/>
          <w:bCs/>
          <w:i w:val="0"/>
          <w:color w:val="000000"/>
          <w:sz w:val="21"/>
          <w:szCs w:val="32"/>
          <w:u w:val="none"/>
        </w:rPr>
        <w:t>1.</w:t>
      </w:r>
      <w:r>
        <w:rPr>
          <w:rFonts w:hint="eastAsia" w:ascii="仿宋_GB2312" w:eastAsia="仿宋_GB2312"/>
          <w:b w:val="0"/>
          <w:i w:val="0"/>
          <w:color w:val="000000"/>
          <w:sz w:val="21"/>
          <w:szCs w:val="32"/>
          <w:u w:val="none"/>
        </w:rPr>
        <w:t>一般公共服务（ 类） 纪检监察事务（ 款） 派驻派出机构（ 项）</w:t>
      </w:r>
      <w:r>
        <w:rPr>
          <w:rFonts w:hint="eastAsia" w:ascii="仿宋_GB2312" w:hAnsi="TimesNewRomanPSMT" w:eastAsia="仿宋_GB2312"/>
          <w:b w:val="0"/>
          <w:i w:val="0"/>
          <w:color w:val="000000"/>
          <w:sz w:val="21"/>
          <w:szCs w:val="32"/>
          <w:u w:val="none"/>
        </w:rPr>
        <w:t xml:space="preserve">2024 </w:t>
      </w:r>
      <w:r>
        <w:rPr>
          <w:rFonts w:hint="eastAsia" w:ascii="仿宋_GB2312" w:eastAsia="仿宋_GB2312"/>
          <w:b w:val="0"/>
          <w:i w:val="0"/>
          <w:color w:val="000000"/>
          <w:sz w:val="21"/>
          <w:szCs w:val="32"/>
          <w:u w:val="none"/>
        </w:rPr>
        <w:t>年预算数为</w:t>
      </w:r>
      <w:r>
        <w:rPr>
          <w:rFonts w:hint="eastAsia" w:ascii="仿宋_GB2312" w:hAnsi="TimesNewRomanPSMT" w:eastAsia="仿宋_GB2312"/>
          <w:b w:val="0"/>
          <w:i w:val="0"/>
          <w:color w:val="000000"/>
          <w:sz w:val="21"/>
          <w:szCs w:val="32"/>
          <w:u w:val="none"/>
        </w:rPr>
        <w:t>0</w:t>
      </w:r>
      <w:r>
        <w:rPr>
          <w:rFonts w:hint="eastAsia" w:ascii="仿宋_GB2312" w:eastAsia="仿宋_GB2312"/>
          <w:b w:val="0"/>
          <w:i w:val="0"/>
          <w:color w:val="000000"/>
          <w:sz w:val="21"/>
          <w:szCs w:val="32"/>
          <w:u w:val="none"/>
        </w:rPr>
        <w:t xml:space="preserve">万元， 比 </w:t>
      </w:r>
      <w:r>
        <w:rPr>
          <w:rFonts w:hint="eastAsia" w:ascii="仿宋_GB2312" w:hAnsi="TimesNewRomanPSMT" w:eastAsia="仿宋_GB2312"/>
          <w:b w:val="0"/>
          <w:i w:val="0"/>
          <w:color w:val="000000"/>
          <w:sz w:val="21"/>
          <w:szCs w:val="32"/>
          <w:u w:val="none"/>
        </w:rPr>
        <w:t xml:space="preserve">2023 </w:t>
      </w:r>
      <w:r>
        <w:rPr>
          <w:rFonts w:hint="eastAsia" w:ascii="仿宋_GB2312" w:eastAsia="仿宋_GB2312"/>
          <w:b w:val="0"/>
          <w:i w:val="0"/>
          <w:color w:val="000000"/>
          <w:sz w:val="21"/>
          <w:szCs w:val="32"/>
          <w:u w:val="none"/>
        </w:rPr>
        <w:t>年预算增加0万元</w:t>
      </w:r>
      <w:r>
        <w:rPr>
          <w:rFonts w:hint="eastAsia" w:ascii="仿宋_GB2312" w:eastAsia="仿宋_GB2312"/>
          <w:b w:val="0"/>
          <w:i w:val="0"/>
          <w:color w:val="000000"/>
          <w:sz w:val="21"/>
          <w:szCs w:val="32"/>
          <w:u w:val="none"/>
          <w:lang w:eastAsia="zh-CN"/>
        </w:rPr>
        <w:t>。</w:t>
      </w:r>
    </w:p>
    <w:p>
      <w:pPr>
        <w:adjustRightInd w:val="0"/>
        <w:snapToGrid w:val="0"/>
        <w:spacing w:line="640" w:lineRule="exact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i w:val="0"/>
          <w:color w:val="000000"/>
          <w:kern w:val="0"/>
          <w:sz w:val="21"/>
          <w:szCs w:val="32"/>
          <w:u w:val="none"/>
        </w:rPr>
        <w:t>五、部门（单位）一般公共预算财政拨款“三公”经费、培训费、会议费等情况</w:t>
      </w:r>
    </w:p>
    <w:p>
      <w:pPr>
        <w:adjustRightInd w:val="0"/>
        <w:snapToGrid w:val="0"/>
        <w:spacing w:line="640" w:lineRule="exact"/>
        <w:ind w:firstLine="420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（一）“三公”经费情况说明</w:t>
      </w:r>
    </w:p>
    <w:p>
      <w:pPr>
        <w:adjustRightInd w:val="0"/>
        <w:snapToGrid w:val="0"/>
        <w:spacing w:line="640" w:lineRule="exact"/>
        <w:contextualSpacing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“三公”经费预算 0万元，较2023年预算增加（减少） 0万元。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1.因公出国（境）费用0万元，较2023年预算增加（减少）0万元，增长（下降）0%。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2.公务接待费 0万元，较2023年预算增加（减少）0万元，增长（下降）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0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 xml:space="preserve"> %。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3.公务用车购置及运行维护费0万元（其中：公务用车购置0万元，公务用车运行维护费0万元），较2023年预算增加（减少）0万元，增长（下降）0%。</w:t>
      </w:r>
    </w:p>
    <w:p>
      <w:pPr>
        <w:adjustRightInd w:val="0"/>
        <w:snapToGrid w:val="0"/>
        <w:spacing w:line="640" w:lineRule="exact"/>
        <w:ind w:firstLine="420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（二）培训费预算情况说明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4.培训费0万元，较2023年预算增加（减少）0万元，增长（下降）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0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 xml:space="preserve"> %。</w:t>
      </w:r>
    </w:p>
    <w:p>
      <w:pPr>
        <w:adjustRightInd w:val="0"/>
        <w:snapToGrid w:val="0"/>
        <w:spacing w:line="640" w:lineRule="exact"/>
        <w:ind w:firstLine="420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（三）会议费预算情况说明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eastAsia="仿宋_GB2312"/>
          <w:b w:val="0"/>
          <w:i w:val="0"/>
          <w:color w:val="000000"/>
          <w:sz w:val="21"/>
          <w:szCs w:val="32"/>
          <w:u w:val="none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5.会议费0万元，较2023年预算增加（减少）0万元，增长（下降）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0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 xml:space="preserve"> %。</w:t>
      </w:r>
    </w:p>
    <w:p>
      <w:pPr>
        <w:adjustRightInd w:val="0"/>
        <w:snapToGrid w:val="0"/>
        <w:spacing w:line="640" w:lineRule="exact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i w:val="0"/>
          <w:color w:val="000000"/>
          <w:kern w:val="0"/>
          <w:sz w:val="21"/>
          <w:szCs w:val="32"/>
          <w:u w:val="none"/>
        </w:rPr>
        <w:t>六、一般公共预算财政拨款机关运行经费情况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机关运行经费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60.8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万元，较2023年预算增加（减少）0万元，增长（下降）0%。</w:t>
      </w:r>
    </w:p>
    <w:p>
      <w:pPr>
        <w:adjustRightInd w:val="0"/>
        <w:snapToGrid w:val="0"/>
        <w:spacing w:line="640" w:lineRule="exact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i w:val="0"/>
          <w:color w:val="000000"/>
          <w:kern w:val="0"/>
          <w:sz w:val="21"/>
          <w:szCs w:val="32"/>
          <w:u w:val="none"/>
        </w:rPr>
        <w:t>七、政府采购安排情况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2024年，部门（单位）政府采购预算总额0万元，其中：政府采购货物预算 0万元，政府采购工程预算0万元，政府采购服务预算0万元。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2024年，部门（单位）面向中小企业预留政府采购项目预算金额  万元，小微企业预留政府采购项目预算金额0万元。</w:t>
      </w:r>
    </w:p>
    <w:p>
      <w:pPr>
        <w:adjustRightInd w:val="0"/>
        <w:snapToGrid w:val="0"/>
        <w:spacing w:line="640" w:lineRule="exact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i w:val="0"/>
          <w:color w:val="000000"/>
          <w:kern w:val="0"/>
          <w:sz w:val="21"/>
          <w:szCs w:val="32"/>
          <w:u w:val="none"/>
        </w:rPr>
        <w:t>八、国有资产占用情况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 xml:space="preserve">上年末固定资产金额为 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223.787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万元。其中：办公用房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663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平方米，价值0万元。单价20万元以上的设备价值 0万元。2024年拟采购固定资产约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15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万元。</w:t>
      </w:r>
    </w:p>
    <w:p>
      <w:pPr>
        <w:adjustRightInd w:val="0"/>
        <w:snapToGrid w:val="0"/>
        <w:spacing w:line="640" w:lineRule="exact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i w:val="0"/>
          <w:color w:val="000000"/>
          <w:kern w:val="0"/>
          <w:sz w:val="21"/>
          <w:szCs w:val="32"/>
          <w:u w:val="none"/>
        </w:rPr>
        <w:t>九、其他重要事项情况说明</w:t>
      </w:r>
    </w:p>
    <w:p>
      <w:pPr>
        <w:adjustRightInd w:val="0"/>
        <w:snapToGrid w:val="0"/>
        <w:spacing w:line="640" w:lineRule="exact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（一）政府性基金预算支出情况</w:t>
      </w:r>
    </w:p>
    <w:p>
      <w:pPr>
        <w:widowControl/>
        <w:adjustRightInd w:val="0"/>
        <w:snapToGrid w:val="0"/>
        <w:spacing w:line="640" w:lineRule="exact"/>
        <w:ind w:firstLine="42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2024年使用政府性基金预算拨款安排支出 0万元，较2023年预算增加（减少）0万元，增长（下降）0%。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1．交通运输支出（ 类） 民航发展基金支出（ 款） 民航安全（ 项）2024 年预算数为0万元，较2023 年预算减少0万元，主要原因是……。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2.</w:t>
      </w:r>
      <w:r>
        <w:rPr>
          <w:rFonts w:hint="eastAsia" w:ascii="仿宋_GB2312" w:eastAsia="仿宋_GB2312"/>
          <w:b w:val="0"/>
          <w:i w:val="0"/>
          <w:color w:val="000000"/>
          <w:sz w:val="21"/>
          <w:szCs w:val="32"/>
          <w:u w:val="none"/>
        </w:rPr>
        <w:t>……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说明:如果2024年未安排政府性基金预算支出，请写成“未安排预算，政府性基金预算支出情况表为空表。”</w:t>
      </w:r>
    </w:p>
    <w:p>
      <w:pPr>
        <w:adjustRightInd w:val="0"/>
        <w:snapToGrid w:val="0"/>
        <w:spacing w:line="640" w:lineRule="exact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（二）非税收入情况</w:t>
      </w:r>
    </w:p>
    <w:p>
      <w:pPr>
        <w:adjustRightInd w:val="0"/>
        <w:snapToGrid w:val="0"/>
        <w:spacing w:line="640" w:lineRule="exact"/>
        <w:contextualSpacing/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eastAsia="zh-CN"/>
        </w:rPr>
        <w:t>本单位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2024年无非税收入</w:t>
      </w:r>
    </w:p>
    <w:p>
      <w:pPr>
        <w:adjustRightInd w:val="0"/>
        <w:snapToGrid w:val="0"/>
        <w:spacing w:line="640" w:lineRule="exact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（三）重点项目情况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本单位年初预算未安排项目支出，无重点项目说明。</w:t>
      </w:r>
    </w:p>
    <w:p>
      <w:pPr>
        <w:adjustRightInd w:val="0"/>
        <w:snapToGrid w:val="0"/>
        <w:spacing w:line="640" w:lineRule="exact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（四）国有资本经营预算支出情况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2024年使用国有资本经营预算拨款安排支出0万元，比2023年预算增加（减少）0万元，增长（下降）0%。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1.国有资本经营预算支出（ 类）解决历史遗留问题及改革成本支出（ 款）国有企业改革成本支出（项）2024 年预算数为0万元，较2023 年预算减少0万元。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2.</w:t>
      </w:r>
      <w:r>
        <w:rPr>
          <w:rFonts w:hint="eastAsia" w:ascii="仿宋_GB2312" w:eastAsia="仿宋_GB2312"/>
          <w:b w:val="0"/>
          <w:i w:val="0"/>
          <w:color w:val="000000"/>
          <w:sz w:val="21"/>
          <w:szCs w:val="32"/>
          <w:u w:val="none"/>
        </w:rPr>
        <w:t>……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b w:val="0"/>
          <w:i w:val="0"/>
          <w:color w:val="000000"/>
          <w:sz w:val="21"/>
          <w:szCs w:val="32"/>
          <w:u w:val="none"/>
        </w:rPr>
        <w:t>备注：1.分科目到项级进行说明，请参考一般公共预算和政府性基金的要求。2.如果 2024 年未安排国有资本经营预算支出，请写成“未安排预算，国有资本经营预算支出情况表为空表。”</w:t>
      </w:r>
    </w:p>
    <w:p>
      <w:pPr>
        <w:adjustRightInd w:val="0"/>
        <w:snapToGrid w:val="0"/>
        <w:spacing w:line="640" w:lineRule="exact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i w:val="0"/>
          <w:color w:val="000000"/>
          <w:kern w:val="0"/>
          <w:sz w:val="21"/>
          <w:szCs w:val="32"/>
          <w:u w:val="none"/>
        </w:rPr>
        <w:t>十、预算绩效管理情况</w:t>
      </w:r>
    </w:p>
    <w:p>
      <w:pPr>
        <w:adjustRightInd w:val="0"/>
        <w:snapToGrid w:val="0"/>
        <w:spacing w:line="640" w:lineRule="exact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（一）2023年预算绩效管理工作情况。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按照《中共中央 国务院关于全面实施预算绩效管理的意见》《中共甘肃省委 甘肃省人民政府关于全面实施预算绩效管理的实施意见》等相关要求，我们将绩效理念和方法融入预算编制、执行、决算和监督全过程认真开展各项工作。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1.绩效目标管理情况。2023年度，按照“谁申请资金，谁设置目标”的原则，纳入部门预算管理的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部门/单位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整体支出和项目绩效目标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1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个，按规定随年度预算一并公开项目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1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个，公开率为 100 %。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2.绩效运行监控情况。2023年7月，组织开展1-6月绩效运行监控项目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1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个，占本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部门/单位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 xml:space="preserve">项目的 100 %。截至7月底，如期完成预算执行和绩效目标指标值的项目 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1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 xml:space="preserve">个，完成率为100 %。“双监控”发现存在的问题和主要原因是：无。开展1-9月绩效运行监控项目 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1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个，占本部门（单位）项目的100%。截至10月底，如期完成预算执行和绩效目标指标值的项目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1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个，完成率为100 %。“双监控”发现存在的问题和主要原因是：无。绩效运行监控在部门内部通报整改情况：无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3.绩效自评开展情况。2023年度，组织开展绩效自评项目共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1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个，其中，部门（单位）整体支出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1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个，项目支出0个，转移支付项目0个，绩效自评覆盖率为100%。绩效自评结果随部门决算报送财政和随决算公开情况：已完成。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4.绩效结果应用情况。根据2023年度绩效运行监控、绩效自评等情况，当年盘活财政资金0万元，2024年度增加（减少）部门预算项目 0个，增长率/压减率0 %。同时对政策和项目资金管理作出调整的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0</w:t>
      </w: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个。</w:t>
      </w:r>
    </w:p>
    <w:p>
      <w:pPr>
        <w:adjustRightInd w:val="0"/>
        <w:snapToGrid w:val="0"/>
        <w:spacing w:line="640" w:lineRule="exact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（二）2024年绩效目标编制情况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olor w:val="000000"/>
          <w:sz w:val="21"/>
          <w:szCs w:val="32"/>
          <w:u w:val="none"/>
        </w:rPr>
        <w:t>2024年，纳入部门/单位预算绩效目标管理的项目1个。其中，部门整体支出绩效目标围绕部门管理、履职效果、能力建设三个维度，设置二级指标 3个、三级指标3个；项目支出绩效目标围绕成本指标、产出指标、效益指标、满意度指标四个维度，设置二级指标3个、三级指标3个。各项绩效目标内容指向明确、细化量化、合理可行，符合规定的格式要求。</w:t>
      </w:r>
    </w:p>
    <w:p>
      <w:pPr>
        <w:adjustRightInd w:val="0"/>
        <w:snapToGrid w:val="0"/>
        <w:spacing w:line="640" w:lineRule="exact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十一、名词解释</w:t>
      </w:r>
    </w:p>
    <w:p>
      <w:pPr>
        <w:adjustRightInd w:val="0"/>
        <w:snapToGrid w:val="0"/>
        <w:spacing w:line="640" w:lineRule="exact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 w:val="0"/>
          <w:i w:val="0"/>
          <w:color w:val="000000"/>
          <w:sz w:val="21"/>
          <w:szCs w:val="32"/>
          <w:u w:val="none"/>
        </w:rPr>
        <w:t>1、财政拨款: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指由一般公共预算、政府性基金预算、国有资本经营预算安排的财政拨款数。</w:t>
      </w:r>
    </w:p>
    <w:p>
      <w:pPr>
        <w:adjustRightInd w:val="0"/>
        <w:snapToGrid w:val="0"/>
        <w:spacing w:line="640" w:lineRule="exact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 w:val="0"/>
          <w:i w:val="0"/>
          <w:color w:val="000000"/>
          <w:sz w:val="21"/>
          <w:szCs w:val="32"/>
          <w:u w:val="none"/>
        </w:rPr>
        <w:t>2、一般公共预算: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包括公共财政拨款（补助）资金、专项收入。</w:t>
      </w:r>
    </w:p>
    <w:p>
      <w:pPr>
        <w:adjustRightInd w:val="0"/>
        <w:snapToGrid w:val="0"/>
        <w:spacing w:line="640" w:lineRule="exact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 w:val="0"/>
          <w:i w:val="0"/>
          <w:color w:val="000000"/>
          <w:sz w:val="21"/>
          <w:szCs w:val="32"/>
          <w:u w:val="none"/>
        </w:rPr>
        <w:t>3、财政专户管理资金: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包括专户管理行政事业性收费（主要是教育收费）、其他非税收入。</w:t>
      </w:r>
    </w:p>
    <w:p>
      <w:pPr>
        <w:adjustRightInd w:val="0"/>
        <w:snapToGrid w:val="0"/>
        <w:spacing w:line="640" w:lineRule="exact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 w:val="0"/>
          <w:i w:val="0"/>
          <w:color w:val="000000"/>
          <w:sz w:val="21"/>
          <w:szCs w:val="32"/>
          <w:u w:val="none"/>
        </w:rPr>
        <w:t>4、其他资金: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包括事业收入、事业经营收入、其他收入等。</w:t>
      </w:r>
    </w:p>
    <w:p>
      <w:pPr>
        <w:adjustRightInd w:val="0"/>
        <w:snapToGrid w:val="0"/>
        <w:spacing w:line="640" w:lineRule="exact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 w:val="0"/>
          <w:i w:val="0"/>
          <w:color w:val="000000"/>
          <w:sz w:val="21"/>
          <w:szCs w:val="32"/>
          <w:u w:val="none"/>
        </w:rPr>
        <w:t>5、基本支出: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包括人员经费、公用经费（定额）。其中，人员经费包括工资福利支出、对个人和家庭的补助。</w:t>
      </w:r>
    </w:p>
    <w:p>
      <w:pPr>
        <w:adjustRightInd w:val="0"/>
        <w:snapToGrid w:val="0"/>
        <w:spacing w:line="640" w:lineRule="exact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 w:val="0"/>
          <w:i w:val="0"/>
          <w:color w:val="000000"/>
          <w:sz w:val="21"/>
          <w:szCs w:val="32"/>
          <w:u w:val="none"/>
        </w:rPr>
        <w:t>6、项目支出: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部门（单位）支出预算的组成部分，是各部门（单位）为完成其特定的行政任务或事业发展目标，在基本支出预算之外编制的年度项目支出计划。</w:t>
      </w:r>
    </w:p>
    <w:p>
      <w:pPr>
        <w:adjustRightInd w:val="0"/>
        <w:snapToGrid w:val="0"/>
        <w:spacing w:line="640" w:lineRule="exact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 w:val="0"/>
          <w:i w:val="0"/>
          <w:color w:val="000000"/>
          <w:sz w:val="21"/>
          <w:szCs w:val="32"/>
          <w:u w:val="none"/>
        </w:rPr>
        <w:t>7、“三公”经费: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640" w:lineRule="exact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 w:val="0"/>
          <w:i w:val="0"/>
          <w:color w:val="000000"/>
          <w:sz w:val="21"/>
          <w:szCs w:val="32"/>
          <w:u w:val="none"/>
        </w:rPr>
        <w:t>8、机关运行经费: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为保障行政单位（包括实行公务员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40" w:lineRule="exact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 w:val="0"/>
          <w:i w:val="0"/>
          <w:color w:val="000000"/>
          <w:sz w:val="21"/>
          <w:szCs w:val="32"/>
          <w:u w:val="none"/>
        </w:rPr>
        <w:t>……</w:t>
      </w:r>
    </w:p>
    <w:p>
      <w:pPr>
        <w:adjustRightInd w:val="0"/>
        <w:snapToGrid w:val="0"/>
        <w:spacing w:line="640" w:lineRule="exact"/>
        <w:contextualSpacing/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</w:pPr>
    </w:p>
    <w:p>
      <w:pPr>
        <w:adjustRightInd w:val="0"/>
        <w:snapToGrid w:val="0"/>
        <w:spacing w:line="640" w:lineRule="exact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 w:val="0"/>
          <w:i w:val="0"/>
          <w:color w:val="000000"/>
          <w:sz w:val="21"/>
          <w:szCs w:val="32"/>
          <w:u w:val="none"/>
        </w:rPr>
        <w:t>（请部门/单位对编制中涉及的专业名词进行补充解释）</w:t>
      </w:r>
    </w:p>
    <w:p>
      <w:pPr>
        <w:adjustRightInd w:val="0"/>
        <w:snapToGrid w:val="0"/>
        <w:spacing w:line="640" w:lineRule="exact"/>
        <w:contextualSpacing/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</w:pPr>
    </w:p>
    <w:p>
      <w:pPr>
        <w:adjustRightInd w:val="0"/>
        <w:snapToGrid w:val="0"/>
        <w:spacing w:line="640" w:lineRule="exact"/>
        <w:contextualSpacing/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</w:pPr>
    </w:p>
    <w:p>
      <w:pPr>
        <w:adjustRightInd w:val="0"/>
        <w:snapToGrid w:val="0"/>
        <w:spacing w:line="640" w:lineRule="exact"/>
        <w:ind w:right="960"/>
        <w:contextualSpacing/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积石山县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  <w:lang w:eastAsia="zh-CN"/>
        </w:rPr>
        <w:t>政协办公室</w:t>
      </w:r>
    </w:p>
    <w:p>
      <w:pPr>
        <w:adjustRightInd w:val="0"/>
        <w:snapToGrid w:val="0"/>
        <w:spacing w:line="640" w:lineRule="exact"/>
        <w:ind w:right="112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2024年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3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 xml:space="preserve">月 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  <w:lang w:val="en-US" w:eastAsia="zh-CN"/>
        </w:rPr>
        <w:t>8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日</w:t>
      </w:r>
    </w:p>
    <w:p>
      <w:pPr>
        <w:adjustRightInd w:val="0"/>
        <w:snapToGrid w:val="0"/>
        <w:spacing w:line="640" w:lineRule="exact"/>
        <w:contextualSpacing/>
        <w:rPr>
          <w:rFonts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</w:pPr>
    </w:p>
    <w:p>
      <w:pPr>
        <w:adjustRightInd w:val="0"/>
        <w:snapToGrid w:val="0"/>
        <w:spacing w:line="640" w:lineRule="exact"/>
        <w:contextualSpacing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附件：</w:t>
      </w:r>
      <w:r>
        <w:rPr>
          <w:rFonts w:hint="eastAsia" w:ascii="仿宋_GB2312" w:hAnsi="宋体" w:eastAsia="仿宋_GB2312" w:cs="宋体"/>
          <w:b w:val="0"/>
          <w:i w:val="0"/>
          <w:color w:val="000000"/>
          <w:spacing w:val="-20"/>
          <w:kern w:val="0"/>
          <w:sz w:val="21"/>
          <w:szCs w:val="32"/>
          <w:u w:val="none"/>
        </w:rPr>
        <w:t>1.积石山县应急管理局2024年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部门</w:t>
      </w:r>
      <w:r>
        <w:rPr>
          <w:rFonts w:hint="eastAsia" w:ascii="仿宋_GB2312" w:hAnsi="宋体" w:eastAsia="仿宋_GB2312" w:cs="宋体"/>
          <w:b w:val="0"/>
          <w:i w:val="0"/>
          <w:color w:val="000000"/>
          <w:spacing w:val="-20"/>
          <w:kern w:val="0"/>
          <w:sz w:val="21"/>
          <w:szCs w:val="32"/>
          <w:u w:val="none"/>
        </w:rPr>
        <w:t>预算公开表</w:t>
      </w:r>
    </w:p>
    <w:p>
      <w:pPr>
        <w:adjustRightInd w:val="0"/>
        <w:snapToGrid w:val="0"/>
        <w:spacing w:line="640" w:lineRule="exact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2.</w:t>
      </w:r>
      <w:r>
        <w:rPr>
          <w:rFonts w:hint="eastAsia" w:ascii="仿宋_GB2312" w:hAnsi="宋体" w:eastAsia="仿宋_GB2312" w:cs="宋体"/>
          <w:b w:val="0"/>
          <w:i w:val="0"/>
          <w:color w:val="000000"/>
          <w:spacing w:val="-20"/>
          <w:kern w:val="0"/>
          <w:sz w:val="21"/>
          <w:szCs w:val="32"/>
          <w:u w:val="none"/>
        </w:rPr>
        <w:t xml:space="preserve"> 积石山县应急管理局</w:t>
      </w: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2024年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部门</w:t>
      </w: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整体支出绩效目标及预算项目绩效目标表</w:t>
      </w:r>
    </w:p>
    <w:p>
      <w:pPr>
        <w:adjustRightInd w:val="0"/>
        <w:snapToGrid w:val="0"/>
        <w:spacing w:line="640" w:lineRule="exact"/>
        <w:contextualSpacing/>
        <w:rPr>
          <w:rFonts w:ascii="宋体" w:hAnsi="宋体"/>
          <w:b/>
        </w:rPr>
      </w:pPr>
      <w:r>
        <w:rPr>
          <w:rFonts w:hint="eastAsia" w:ascii="黑体" w:eastAsia="黑体"/>
          <w:b w:val="0"/>
          <w:i w:val="0"/>
          <w:color w:val="000000"/>
          <w:sz w:val="21"/>
          <w:szCs w:val="30"/>
          <w:u w:val="none"/>
        </w:rPr>
        <w:br w:type="page"/>
      </w:r>
      <w:r>
        <w:rPr>
          <w:rFonts w:hint="eastAsia" w:ascii="黑体" w:eastAsia="黑体"/>
          <w:b w:val="0"/>
          <w:i w:val="0"/>
          <w:color w:val="000000"/>
          <w:sz w:val="21"/>
          <w:szCs w:val="30"/>
          <w:u w:val="none"/>
        </w:rPr>
        <w:t>附件1</w:t>
      </w:r>
    </w:p>
    <w:p>
      <w:pPr>
        <w:spacing w:line="3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表一、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部门/单位</w:t>
      </w: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收支总体情况表</w:t>
      </w:r>
    </w:p>
    <w:tbl>
      <w:tblPr>
        <w:tblStyle w:val="8"/>
        <w:tblpPr w:leftFromText="180" w:rightFromText="180" w:vertAnchor="text" w:horzAnchor="page" w:tblpX="1285" w:tblpY="342"/>
        <w:tblOverlap w:val="never"/>
        <w:tblW w:w="96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600"/>
        <w:gridCol w:w="3236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  <w:lang w:val="en-US" w:eastAsia="zh-CN"/>
              </w:rPr>
              <w:t>897.54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595959"/>
                <w:kern w:val="0"/>
                <w:sz w:val="21"/>
                <w:szCs w:val="21"/>
                <w:u w:val="none"/>
                <w:lang w:val="en-US" w:eastAsia="zh-CN" w:bidi="ar"/>
              </w:rPr>
              <w:t>897.54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十五、资源勘探工业信息等支出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二十一、粮油物资储备支出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三十、抗疫特别国债还本支出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三十一、结转下年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  <w:lang w:val="en-US" w:eastAsia="zh-CN"/>
              </w:rPr>
              <w:t>897.54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支出总计</w:t>
            </w: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  <w:lang w:val="en-US" w:eastAsia="zh-CN"/>
              </w:rPr>
              <w:t>897.54</w:t>
            </w:r>
          </w:p>
        </w:tc>
      </w:tr>
    </w:tbl>
    <w:p>
      <w:pPr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 w:val="0"/>
          <w:i w:val="0"/>
          <w:color w:val="000000"/>
          <w:kern w:val="0"/>
          <w:sz w:val="21"/>
          <w:szCs w:val="18"/>
          <w:u w:val="none"/>
        </w:rPr>
        <w:t>单位：万</w:t>
      </w:r>
    </w:p>
    <w:p>
      <w:pPr>
        <w:widowControl/>
        <w:spacing w:line="560" w:lineRule="exact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71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  <w:t>备注：无内容应公开空表并说明情况。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表二、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部门/单位</w:t>
      </w: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收入总体情况表</w:t>
      </w:r>
    </w:p>
    <w:p>
      <w:pPr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 w:val="0"/>
          <w:i w:val="0"/>
          <w:color w:val="000000"/>
          <w:kern w:val="0"/>
          <w:sz w:val="21"/>
          <w:szCs w:val="18"/>
          <w:u w:val="none"/>
        </w:rPr>
        <w:t>单位：万元</w:t>
      </w:r>
    </w:p>
    <w:tbl>
      <w:tblPr>
        <w:tblStyle w:val="8"/>
        <w:tblW w:w="9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2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**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897.54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     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二、政府性基金预算财政拨款收入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     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三、国有资本经营预算收入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     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四、教育专户核算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     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五、事业收入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     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六、上级补助收入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     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七、附属单位上缴收入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     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八、经营收入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     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九、其他收入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     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       本年收入合计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897.54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     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     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       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897.54</w:t>
            </w:r>
          </w:p>
        </w:tc>
      </w:tr>
    </w:tbl>
    <w:p>
      <w:pPr>
        <w:widowControl/>
        <w:spacing w:line="560" w:lineRule="exact"/>
        <w:jc w:val="left"/>
        <w:rPr>
          <w:rFonts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 w:val="0"/>
          <w:bCs/>
          <w:i w:val="0"/>
          <w:color w:val="000000"/>
          <w:sz w:val="21"/>
          <w:szCs w:val="18"/>
          <w:u w:val="none"/>
        </w:rPr>
        <w:t>备注：无内容应公开空表并说明情况。</w:t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  <w:tab/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  <w:tab/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表三、</w:t>
      </w:r>
      <w:r>
        <w:rPr>
          <w:rFonts w:hint="eastAsia" w:ascii="仿宋_GB2312" w:hAnsi="CIDFont+F6" w:eastAsia="仿宋_GB2312"/>
          <w:b w:val="0"/>
          <w:i w:val="0"/>
          <w:color w:val="000000"/>
          <w:sz w:val="21"/>
          <w:szCs w:val="32"/>
          <w:u w:val="none"/>
        </w:rPr>
        <w:t>部门/单位</w:t>
      </w: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支出总体情况表</w:t>
      </w:r>
    </w:p>
    <w:p>
      <w:pPr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 w:val="0"/>
          <w:i w:val="0"/>
          <w:color w:val="000000"/>
          <w:kern w:val="0"/>
          <w:sz w:val="21"/>
          <w:szCs w:val="18"/>
          <w:u w:val="none"/>
        </w:rPr>
        <w:t>单位：万元</w:t>
      </w:r>
    </w:p>
    <w:tbl>
      <w:tblPr>
        <w:tblStyle w:val="8"/>
        <w:tblW w:w="97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1531"/>
        <w:gridCol w:w="1531"/>
        <w:gridCol w:w="1531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功能分类科目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支出合计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基本支出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项目支出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**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总计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行政运行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  <w:lang w:val="en-US" w:eastAsia="zh-CN"/>
              </w:rPr>
              <w:t>897.54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hint="default" w:ascii="宋体" w:hAnsi="宋体"/>
                <w:b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  <w:lang w:val="en-US" w:eastAsia="zh-CN"/>
              </w:rPr>
              <w:t>897.54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 w:val="0"/>
          <w:i w:val="0"/>
          <w:color w:val="000000"/>
          <w:sz w:val="21"/>
          <w:szCs w:val="18"/>
          <w:u w:val="none"/>
        </w:rPr>
        <w:t>备注：无内容应公开空表并说明情况。</w:t>
      </w: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  <w:tab/>
      </w: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  <w:tab/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表四、财政拨款收支总体情况表</w:t>
      </w:r>
    </w:p>
    <w:p>
      <w:pPr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 w:val="0"/>
          <w:i w:val="0"/>
          <w:color w:val="000000"/>
          <w:kern w:val="0"/>
          <w:sz w:val="21"/>
          <w:szCs w:val="18"/>
          <w:u w:val="none"/>
        </w:rPr>
        <w:t>单位：万元</w:t>
      </w:r>
    </w:p>
    <w:tbl>
      <w:tblPr>
        <w:tblStyle w:val="8"/>
        <w:tblW w:w="98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363"/>
        <w:gridCol w:w="388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897.54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897.54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897.54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897.54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（二十九）抗疫特别国债还本支出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897.54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897.54</w:t>
            </w:r>
          </w:p>
        </w:tc>
      </w:tr>
    </w:tbl>
    <w:p>
      <w:pPr>
        <w:widowControl/>
        <w:spacing w:line="560" w:lineRule="exact"/>
        <w:jc w:val="left"/>
        <w:rPr>
          <w:rFonts w:ascii="宋体" w:hAnsi="宋体" w:cs="Arial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 w:val="0"/>
          <w:bCs/>
          <w:i w:val="0"/>
          <w:color w:val="000000"/>
          <w:kern w:val="0"/>
          <w:sz w:val="21"/>
          <w:szCs w:val="18"/>
          <w:u w:val="none"/>
        </w:rPr>
        <w:t>备注：无内容应公开空表并说明情况。</w:t>
      </w: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表五、财政拨款支出表</w:t>
      </w:r>
    </w:p>
    <w:p>
      <w:pPr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 w:val="0"/>
          <w:i w:val="0"/>
          <w:color w:val="000000"/>
          <w:kern w:val="0"/>
          <w:sz w:val="21"/>
          <w:szCs w:val="18"/>
          <w:u w:val="none"/>
        </w:rPr>
        <w:t>单位：万元</w:t>
      </w:r>
    </w:p>
    <w:tbl>
      <w:tblPr>
        <w:tblStyle w:val="8"/>
        <w:tblW w:w="14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5"/>
        <w:gridCol w:w="1065"/>
        <w:gridCol w:w="1066"/>
        <w:gridCol w:w="1025"/>
        <w:gridCol w:w="1066"/>
        <w:gridCol w:w="1066"/>
        <w:gridCol w:w="1025"/>
        <w:gridCol w:w="1066"/>
        <w:gridCol w:w="1066"/>
        <w:gridCol w:w="1025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单位名称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总计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一般公共预算支出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政府性基金预算支出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基本支出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**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总计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……积石山县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  <w:lang w:eastAsia="zh-CN"/>
              </w:rPr>
              <w:t>政协办公室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897.54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897.54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897.54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rPr>
                <w:rFonts w:ascii="宋体" w:hAnsi="宋体" w:cs="Arial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 w:val="0"/>
          <w:i w:val="0"/>
          <w:color w:val="000000"/>
          <w:sz w:val="21"/>
          <w:szCs w:val="18"/>
          <w:u w:val="none"/>
        </w:rPr>
        <w:t>备注：无内容应公开空表并说明情况。</w:t>
      </w: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  <w:tab/>
      </w: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  <w:tab/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表六、一般公共预算支出情况表</w:t>
      </w: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b w:val="0"/>
          <w:i w:val="0"/>
          <w:color w:val="000000"/>
          <w:kern w:val="0"/>
          <w:sz w:val="21"/>
          <w:szCs w:val="18"/>
          <w:u w:val="none"/>
        </w:rPr>
        <w:t>单位：万元</w:t>
      </w:r>
    </w:p>
    <w:tbl>
      <w:tblPr>
        <w:tblStyle w:val="8"/>
        <w:tblW w:w="95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253"/>
        <w:gridCol w:w="1417"/>
        <w:gridCol w:w="1418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功能分类科目</w:t>
            </w:r>
          </w:p>
        </w:tc>
        <w:tc>
          <w:tcPr>
            <w:tcW w:w="42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科目编码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科目名称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基本支出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**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2130301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行政运行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897.54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897.54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jc w:val="left"/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 w:val="0"/>
          <w:i w:val="0"/>
          <w:color w:val="000000"/>
          <w:sz w:val="21"/>
          <w:szCs w:val="18"/>
          <w:u w:val="none"/>
        </w:rPr>
        <w:t>备注：无内容应公开空表并说明情况。</w:t>
      </w: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  <w:tab/>
      </w: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  <w:tab/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表七、一般公共预算基本支出情况表</w:t>
      </w: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b w:val="0"/>
          <w:i w:val="0"/>
          <w:color w:val="000000"/>
          <w:kern w:val="0"/>
          <w:sz w:val="21"/>
          <w:szCs w:val="18"/>
          <w:u w:val="none"/>
        </w:rPr>
        <w:t>单位：万元</w:t>
      </w:r>
    </w:p>
    <w:tbl>
      <w:tblPr>
        <w:tblStyle w:val="8"/>
        <w:tblW w:w="9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4252"/>
        <w:gridCol w:w="1559"/>
        <w:gridCol w:w="1418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经济分类科目</w:t>
            </w:r>
          </w:p>
        </w:tc>
        <w:tc>
          <w:tcPr>
            <w:tcW w:w="4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科目编码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科目名称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人员经费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**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2130301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行政运行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  <w:lang w:val="en-US" w:eastAsia="zh-CN"/>
              </w:rPr>
              <w:t>897.54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  <w:lang w:val="en-US" w:eastAsia="zh-CN"/>
              </w:rPr>
              <w:t>756.74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  <w:lang w:val="en-US" w:eastAsia="zh-CN"/>
              </w:rPr>
              <w:t>140.8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 w:val="0"/>
          <w:i w:val="0"/>
          <w:color w:val="000000"/>
          <w:sz w:val="21"/>
          <w:szCs w:val="18"/>
          <w:u w:val="none"/>
        </w:rPr>
        <w:t>备注：无内容应公开空表并说明情况。</w:t>
      </w: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tabs>
          <w:tab w:val="left" w:pos="1512"/>
        </w:tabs>
        <w:rPr>
          <w:rFonts w:ascii="宋体" w:hAnsi="宋体"/>
          <w:sz w:val="18"/>
          <w:szCs w:val="18"/>
        </w:rPr>
      </w:pPr>
      <w:r>
        <w:rPr>
          <w:rFonts w:ascii="宋体" w:hAnsi="宋体"/>
          <w:b w:val="0"/>
          <w:i w:val="0"/>
          <w:color w:val="000000"/>
          <w:sz w:val="21"/>
          <w:szCs w:val="18"/>
          <w:u w:val="none"/>
        </w:rPr>
        <w:tab/>
      </w:r>
    </w:p>
    <w:p>
      <w:pPr>
        <w:tabs>
          <w:tab w:val="left" w:pos="151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  <w:tab/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表八、一般公共预算</w:t>
      </w:r>
      <w:r>
        <w:rPr>
          <w:rFonts w:hint="eastAsia" w:ascii="仿宋_GB2312" w:hAnsi="宋体" w:eastAsia="仿宋_GB2312" w:cs="宋体"/>
          <w:b w:val="0"/>
          <w:bCs/>
          <w:i w:val="0"/>
          <w:color w:val="000000"/>
          <w:kern w:val="0"/>
          <w:sz w:val="21"/>
          <w:szCs w:val="32"/>
          <w:u w:val="none"/>
        </w:rPr>
        <w:t>财政拨款</w:t>
      </w: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“三公”经费、会议费、培训费支出情况表</w:t>
      </w: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b w:val="0"/>
          <w:i w:val="0"/>
          <w:color w:val="000000"/>
          <w:kern w:val="0"/>
          <w:sz w:val="21"/>
          <w:szCs w:val="18"/>
          <w:u w:val="none"/>
        </w:rPr>
        <w:t>单位：万元</w:t>
      </w:r>
    </w:p>
    <w:tbl>
      <w:tblPr>
        <w:tblStyle w:val="8"/>
        <w:tblW w:w="14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公务用车购置和运行费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公务用车购置费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公务用车运行费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总计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……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 w:val="0"/>
          <w:i w:val="0"/>
          <w:color w:val="000000"/>
          <w:sz w:val="21"/>
          <w:szCs w:val="18"/>
          <w:u w:val="none"/>
        </w:rPr>
        <w:t>备注：无内容应公开空表并说明情况。</w:t>
      </w: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</w:pP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  <w:tab/>
      </w: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  <w:tab/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表九、一般公共预算财政拨款机关运行经费表</w:t>
      </w:r>
    </w:p>
    <w:p>
      <w:pPr>
        <w:wordWrap w:val="0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 w:val="0"/>
          <w:i w:val="0"/>
          <w:color w:val="000000"/>
          <w:kern w:val="0"/>
          <w:sz w:val="21"/>
          <w:szCs w:val="18"/>
          <w:u w:val="none"/>
        </w:rPr>
        <w:t xml:space="preserve">单位：万元 </w:t>
      </w:r>
    </w:p>
    <w:tbl>
      <w:tblPr>
        <w:tblStyle w:val="8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项目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 w:val="0"/>
                <w:bCs/>
                <w:i w:val="0"/>
                <w:color w:val="000000"/>
                <w:kern w:val="0"/>
                <w:sz w:val="21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140.8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140.8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Arial"/>
                <w:b w:val="0"/>
                <w:bCs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440001001 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bookmarkStart w:id="0" w:name="_GoBack" w:colFirst="2" w:colLast="2"/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440001002 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440001011 租赁费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440001005 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440001006 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440001007 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440001022 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440001020 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4400010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17劳务费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4400010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10维修费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4400010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23培训费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4400010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03咨询费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4400010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25办公设备购置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4400010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Arial"/>
                <w:b w:val="0"/>
                <w:bCs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Arial"/>
                <w:b w:val="0"/>
                <w:bCs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  <w:t>备注：无内容应公开空表并说明情况。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表十、政府性基金预算支出情况表</w:t>
      </w:r>
    </w:p>
    <w:p>
      <w:pPr>
        <w:wordWrap w:val="0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 w:val="0"/>
          <w:i w:val="0"/>
          <w:color w:val="000000"/>
          <w:kern w:val="0"/>
          <w:sz w:val="21"/>
          <w:szCs w:val="18"/>
          <w:u w:val="none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 w:val="0"/>
                <w:bCs/>
                <w:i w:val="0"/>
                <w:color w:val="000000"/>
                <w:kern w:val="0"/>
                <w:sz w:val="21"/>
                <w:szCs w:val="20"/>
                <w:u w:val="none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 w:val="0"/>
                <w:bCs/>
                <w:i w:val="0"/>
                <w:color w:val="000000"/>
                <w:kern w:val="0"/>
                <w:sz w:val="21"/>
                <w:szCs w:val="20"/>
                <w:u w:val="none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bCs/>
                <w:i w:val="0"/>
                <w:color w:val="000000"/>
                <w:kern w:val="0"/>
                <w:sz w:val="21"/>
                <w:szCs w:val="20"/>
                <w:u w:val="none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bCs/>
                <w:i w:val="0"/>
                <w:color w:val="000000"/>
                <w:kern w:val="0"/>
                <w:sz w:val="21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 w:val="0"/>
                <w:bCs/>
                <w:i w:val="0"/>
                <w:color w:val="000000"/>
                <w:kern w:val="0"/>
                <w:sz w:val="21"/>
                <w:szCs w:val="20"/>
                <w:u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  <w:t>备注：无内容应公开空表并说明情况。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i w:val="0"/>
          <w:color w:val="000000"/>
          <w:kern w:val="0"/>
          <w:sz w:val="21"/>
          <w:szCs w:val="32"/>
          <w:u w:val="none"/>
        </w:rPr>
        <w:t>表十一、国有资本经营预算支出情况表</w:t>
      </w:r>
    </w:p>
    <w:p>
      <w:pPr>
        <w:wordWrap w:val="0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 w:val="0"/>
          <w:i w:val="0"/>
          <w:color w:val="000000"/>
          <w:kern w:val="0"/>
          <w:sz w:val="21"/>
          <w:szCs w:val="18"/>
          <w:u w:val="none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 w:val="0"/>
                <w:bCs/>
                <w:i w:val="0"/>
                <w:color w:val="000000"/>
                <w:kern w:val="0"/>
                <w:sz w:val="21"/>
                <w:szCs w:val="20"/>
                <w:u w:val="none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 w:val="0"/>
                <w:bCs/>
                <w:i w:val="0"/>
                <w:color w:val="000000"/>
                <w:kern w:val="0"/>
                <w:sz w:val="21"/>
                <w:szCs w:val="20"/>
                <w:u w:val="none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bCs/>
                <w:i w:val="0"/>
                <w:color w:val="000000"/>
                <w:kern w:val="0"/>
                <w:sz w:val="21"/>
                <w:szCs w:val="20"/>
                <w:u w:val="none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bCs/>
                <w:i w:val="0"/>
                <w:color w:val="000000"/>
                <w:kern w:val="0"/>
                <w:sz w:val="21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 w:val="0"/>
                <w:bCs/>
                <w:i w:val="0"/>
                <w:color w:val="000000"/>
                <w:kern w:val="0"/>
                <w:sz w:val="21"/>
                <w:szCs w:val="20"/>
                <w:u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 w:val="0"/>
                <w:i w:val="0"/>
                <w:color w:val="000000"/>
                <w:sz w:val="21"/>
                <w:szCs w:val="18"/>
                <w:u w:val="none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Arial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b w:val="0"/>
          <w:i w:val="0"/>
          <w:color w:val="000000"/>
          <w:sz w:val="21"/>
          <w:szCs w:val="18"/>
          <w:u w:val="none"/>
        </w:rPr>
        <w:t>备注：无内容应公开空表并说明情况。</w:t>
      </w:r>
    </w:p>
    <w:p>
      <w:pPr>
        <w:spacing w:line="3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b w:val="0"/>
          <w:i w:val="0"/>
          <w:color w:val="000000"/>
          <w:sz w:val="21"/>
          <w:szCs w:val="30"/>
          <w:u w:val="none"/>
        </w:rPr>
        <w:t>附件2</w:t>
      </w:r>
    </w:p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 w:val="0"/>
          <w:i w:val="0"/>
          <w:color w:val="000000"/>
          <w:sz w:val="21"/>
          <w:szCs w:val="28"/>
          <w:u w:val="none"/>
        </w:rPr>
        <w:t>部门/单位整体支出绩效目标表</w:t>
      </w:r>
    </w:p>
    <w:p>
      <w:pPr>
        <w:spacing w:line="560" w:lineRule="exac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 w:val="0"/>
          <w:i w:val="0"/>
          <w:color w:val="000000"/>
          <w:sz w:val="21"/>
          <w:szCs w:val="24"/>
          <w:u w:val="none"/>
        </w:rPr>
        <w:t>（2024年度）</w:t>
      </w:r>
    </w:p>
    <w:tbl>
      <w:tblPr>
        <w:tblStyle w:val="8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625"/>
        <w:gridCol w:w="846"/>
        <w:gridCol w:w="817"/>
        <w:gridCol w:w="1537"/>
        <w:gridCol w:w="1738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部门（单位）名称</w:t>
            </w:r>
          </w:p>
        </w:tc>
        <w:tc>
          <w:tcPr>
            <w:tcW w:w="56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积石山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  <w:lang w:eastAsia="zh-CN"/>
              </w:rPr>
              <w:t>县政协办公室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right="113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总 体 目 标</w:t>
            </w:r>
          </w:p>
        </w:tc>
        <w:tc>
          <w:tcPr>
            <w:tcW w:w="81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目标1：按时发放职工工资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目标2：保障单位正常运转</w:t>
            </w:r>
          </w:p>
          <w:p>
            <w:pPr>
              <w:widowControl/>
              <w:spacing w:line="360" w:lineRule="exact"/>
              <w:jc w:val="left"/>
              <w:rPr>
                <w:rFonts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right="113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预 算 情 况（万元）</w:t>
            </w:r>
          </w:p>
        </w:tc>
        <w:tc>
          <w:tcPr>
            <w:tcW w:w="32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按支出类型分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预算金额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按来源类型分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基本支出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人员经费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756.74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当年财政拨款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897.54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公用经费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140.8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上年结转资金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合计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897.54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其他资金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328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项目支出</w:t>
            </w:r>
          </w:p>
        </w:tc>
        <w:tc>
          <w:tcPr>
            <w:tcW w:w="15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收入预算合计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897.54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3288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olor w:val="000000"/>
                <w:sz w:val="21"/>
                <w:szCs w:val="18"/>
                <w:u w:val="none"/>
              </w:rPr>
              <w:t>支出预算合计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897.54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extDirection w:val="tbLrV"/>
            <w:vAlign w:val="center"/>
          </w:tcPr>
          <w:p>
            <w:pPr>
              <w:ind w:right="113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i w:val="0"/>
                <w:color w:val="000000"/>
                <w:kern w:val="0"/>
                <w:sz w:val="21"/>
                <w:szCs w:val="18"/>
                <w:u w:val="none"/>
              </w:rPr>
              <w:t>绩 效 指 标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一级指标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二级指标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三级指标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部门管理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全年支出率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全年支出率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成本指标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发放金额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足额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履职效果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按时发放职工工资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按时发放职工工资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及时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保障单位正常运转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保障单位正常运转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预算执行力度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预算执行力度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  <w:t>能力建设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bCs/>
                <w:i w:val="0"/>
                <w:color w:val="000000"/>
                <w:sz w:val="21"/>
                <w:szCs w:val="18"/>
                <w:u w:val="none"/>
              </w:rPr>
            </w:pPr>
          </w:p>
        </w:tc>
      </w:tr>
    </w:tbl>
    <w:p>
      <w:pPr>
        <w:rPr>
          <w:b w:val="0"/>
          <w:i w:val="0"/>
          <w:color w:val="000000"/>
          <w:sz w:val="21"/>
          <w:u w:val="none"/>
        </w:rPr>
      </w:pPr>
    </w:p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 w:val="0"/>
          <w:i w:val="0"/>
          <w:color w:val="000000"/>
          <w:sz w:val="21"/>
          <w:szCs w:val="28"/>
          <w:u w:val="none"/>
        </w:rPr>
        <w:br w:type="page"/>
      </w:r>
      <w:r>
        <w:rPr>
          <w:rFonts w:hint="eastAsia" w:ascii="仿宋_GB2312" w:eastAsia="仿宋_GB2312"/>
          <w:b w:val="0"/>
          <w:i w:val="0"/>
          <w:color w:val="000000"/>
          <w:sz w:val="21"/>
          <w:szCs w:val="28"/>
          <w:u w:val="none"/>
        </w:rPr>
        <w:t>项目支出绩效目标表</w:t>
      </w:r>
    </w:p>
    <w:p>
      <w:pPr>
        <w:spacing w:line="560" w:lineRule="exac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 w:val="0"/>
          <w:i w:val="0"/>
          <w:color w:val="000000"/>
          <w:sz w:val="21"/>
          <w:szCs w:val="24"/>
          <w:u w:val="none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544"/>
        <w:gridCol w:w="1497"/>
        <w:gridCol w:w="774"/>
        <w:gridCol w:w="25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项目名称</w:t>
            </w:r>
          </w:p>
        </w:tc>
        <w:tc>
          <w:tcPr>
            <w:tcW w:w="3943" w:type="pct"/>
            <w:gridSpan w:val="6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主管部门及</w:t>
            </w:r>
            <w:r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代码</w:t>
            </w: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089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实施单位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项目资金</w:t>
            </w:r>
          </w:p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（万元）</w:t>
            </w: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年度资金总额：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其中</w:t>
            </w:r>
            <w:r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当年</w:t>
            </w:r>
            <w:r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财政拨款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上年结转资金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其他资金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总</w:t>
            </w:r>
          </w:p>
          <w:p>
            <w:pPr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体</w:t>
            </w:r>
          </w:p>
          <w:p>
            <w:pPr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目</w:t>
            </w:r>
          </w:p>
          <w:p>
            <w:pPr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标</w:t>
            </w:r>
          </w:p>
        </w:tc>
        <w:tc>
          <w:tcPr>
            <w:tcW w:w="4685" w:type="pct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目标1：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目标2：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目标3：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i w:val="0"/>
                <w:color w:val="000000"/>
                <w:kern w:val="0"/>
                <w:sz w:val="21"/>
                <w:szCs w:val="18"/>
                <w:u w:val="none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i w:val="0"/>
                <w:color w:val="000000"/>
                <w:kern w:val="0"/>
                <w:sz w:val="21"/>
                <w:szCs w:val="18"/>
                <w:u w:val="none"/>
              </w:rPr>
              <w:t>一级指标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i w:val="0"/>
                <w:color w:val="000000"/>
                <w:kern w:val="0"/>
                <w:sz w:val="21"/>
                <w:szCs w:val="18"/>
                <w:u w:val="none"/>
              </w:rPr>
              <w:t>二级指标</w:t>
            </w: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i w:val="0"/>
                <w:color w:val="000000"/>
                <w:kern w:val="0"/>
                <w:sz w:val="21"/>
                <w:szCs w:val="18"/>
                <w:u w:val="none"/>
              </w:rPr>
              <w:t>三级指标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i w:val="0"/>
                <w:color w:val="000000"/>
                <w:kern w:val="0"/>
                <w:sz w:val="21"/>
                <w:szCs w:val="18"/>
                <w:u w:val="none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成本指标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bCs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产出指标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效益指标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  <w:t>满意度指标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b w:val="0"/>
                <w:i w:val="0"/>
                <w:color w:val="000000"/>
                <w:kern w:val="0"/>
                <w:sz w:val="21"/>
                <w:szCs w:val="18"/>
                <w:u w:val="none"/>
              </w:rPr>
            </w:pPr>
          </w:p>
        </w:tc>
      </w:tr>
    </w:tbl>
    <w:p>
      <w:pPr>
        <w:tabs>
          <w:tab w:val="left" w:pos="1848"/>
        </w:tabs>
        <w:rPr>
          <w:b w:val="0"/>
          <w:i w:val="0"/>
          <w:color w:val="000000"/>
          <w:sz w:val="21"/>
          <w:u w:val="none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NGUxNjE4MjBjM2VhNDllYzNjMjU3YWY3M2MwZGQ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C7D67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5A02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637DF"/>
    <w:rsid w:val="001700B4"/>
    <w:rsid w:val="00171070"/>
    <w:rsid w:val="00171482"/>
    <w:rsid w:val="001A416A"/>
    <w:rsid w:val="001A6118"/>
    <w:rsid w:val="001B0364"/>
    <w:rsid w:val="001B0B8E"/>
    <w:rsid w:val="001B342F"/>
    <w:rsid w:val="001B3FE5"/>
    <w:rsid w:val="001C1259"/>
    <w:rsid w:val="001D1DA7"/>
    <w:rsid w:val="001D793F"/>
    <w:rsid w:val="001E17E4"/>
    <w:rsid w:val="001E2410"/>
    <w:rsid w:val="001E347C"/>
    <w:rsid w:val="001E6110"/>
    <w:rsid w:val="001F18AA"/>
    <w:rsid w:val="001F3C4D"/>
    <w:rsid w:val="0020201F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311A"/>
    <w:rsid w:val="002754B3"/>
    <w:rsid w:val="0028208C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C5570"/>
    <w:rsid w:val="002D3ADC"/>
    <w:rsid w:val="002E2161"/>
    <w:rsid w:val="002E30F2"/>
    <w:rsid w:val="002E4E72"/>
    <w:rsid w:val="002F0CE0"/>
    <w:rsid w:val="002F4570"/>
    <w:rsid w:val="002F4ED9"/>
    <w:rsid w:val="002F75FE"/>
    <w:rsid w:val="002F7FA5"/>
    <w:rsid w:val="003017F4"/>
    <w:rsid w:val="00301AAB"/>
    <w:rsid w:val="00306B68"/>
    <w:rsid w:val="003129FE"/>
    <w:rsid w:val="00314044"/>
    <w:rsid w:val="003322AC"/>
    <w:rsid w:val="00335342"/>
    <w:rsid w:val="0034028A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04DE"/>
    <w:rsid w:val="003929B0"/>
    <w:rsid w:val="00392E2B"/>
    <w:rsid w:val="00395ED4"/>
    <w:rsid w:val="003A396F"/>
    <w:rsid w:val="003A68FD"/>
    <w:rsid w:val="003A7A18"/>
    <w:rsid w:val="003B3187"/>
    <w:rsid w:val="003B327A"/>
    <w:rsid w:val="003B4612"/>
    <w:rsid w:val="003B76D2"/>
    <w:rsid w:val="003D6D41"/>
    <w:rsid w:val="003E20E6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54124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08D0"/>
    <w:rsid w:val="005C6B92"/>
    <w:rsid w:val="005D42FD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4BCE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86782"/>
    <w:rsid w:val="007918BB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07B52"/>
    <w:rsid w:val="00817A5D"/>
    <w:rsid w:val="00821209"/>
    <w:rsid w:val="00821491"/>
    <w:rsid w:val="00831411"/>
    <w:rsid w:val="00842536"/>
    <w:rsid w:val="00843692"/>
    <w:rsid w:val="0085135B"/>
    <w:rsid w:val="0085287C"/>
    <w:rsid w:val="008534BE"/>
    <w:rsid w:val="00854799"/>
    <w:rsid w:val="008559B6"/>
    <w:rsid w:val="008559FD"/>
    <w:rsid w:val="00855E65"/>
    <w:rsid w:val="0085612E"/>
    <w:rsid w:val="00877DF6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319D"/>
    <w:rsid w:val="008D4D6A"/>
    <w:rsid w:val="008D5921"/>
    <w:rsid w:val="008F7014"/>
    <w:rsid w:val="00904643"/>
    <w:rsid w:val="009049E9"/>
    <w:rsid w:val="00907F9B"/>
    <w:rsid w:val="00911503"/>
    <w:rsid w:val="00917C2D"/>
    <w:rsid w:val="009209B6"/>
    <w:rsid w:val="009221E8"/>
    <w:rsid w:val="00923CB4"/>
    <w:rsid w:val="009335E0"/>
    <w:rsid w:val="00941732"/>
    <w:rsid w:val="009510F3"/>
    <w:rsid w:val="00954018"/>
    <w:rsid w:val="00955590"/>
    <w:rsid w:val="009674E4"/>
    <w:rsid w:val="00970435"/>
    <w:rsid w:val="009704EC"/>
    <w:rsid w:val="00971619"/>
    <w:rsid w:val="00982EAB"/>
    <w:rsid w:val="0098505E"/>
    <w:rsid w:val="0099026D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D6FE9"/>
    <w:rsid w:val="009E7835"/>
    <w:rsid w:val="009E7F6E"/>
    <w:rsid w:val="009F2B6A"/>
    <w:rsid w:val="009F5541"/>
    <w:rsid w:val="00A01204"/>
    <w:rsid w:val="00A022BA"/>
    <w:rsid w:val="00A256AC"/>
    <w:rsid w:val="00A32BE3"/>
    <w:rsid w:val="00A4207A"/>
    <w:rsid w:val="00A4657D"/>
    <w:rsid w:val="00A53D72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0EBC"/>
    <w:rsid w:val="00AD4CFE"/>
    <w:rsid w:val="00AE79BA"/>
    <w:rsid w:val="00AF350E"/>
    <w:rsid w:val="00AF3D8F"/>
    <w:rsid w:val="00AF5273"/>
    <w:rsid w:val="00AF5D3D"/>
    <w:rsid w:val="00B0671C"/>
    <w:rsid w:val="00B13495"/>
    <w:rsid w:val="00B25E11"/>
    <w:rsid w:val="00B262DD"/>
    <w:rsid w:val="00B278DE"/>
    <w:rsid w:val="00B30287"/>
    <w:rsid w:val="00B30EBD"/>
    <w:rsid w:val="00B351C3"/>
    <w:rsid w:val="00B36AC9"/>
    <w:rsid w:val="00B36E7A"/>
    <w:rsid w:val="00B444FE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1E1E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13C"/>
    <w:rsid w:val="00D126EC"/>
    <w:rsid w:val="00D14955"/>
    <w:rsid w:val="00D2003A"/>
    <w:rsid w:val="00D24CD6"/>
    <w:rsid w:val="00D24FA6"/>
    <w:rsid w:val="00D27127"/>
    <w:rsid w:val="00D544D2"/>
    <w:rsid w:val="00D660F8"/>
    <w:rsid w:val="00D744C5"/>
    <w:rsid w:val="00D827AF"/>
    <w:rsid w:val="00D83D18"/>
    <w:rsid w:val="00D8451F"/>
    <w:rsid w:val="00D8474D"/>
    <w:rsid w:val="00D84D5B"/>
    <w:rsid w:val="00D86771"/>
    <w:rsid w:val="00D90C73"/>
    <w:rsid w:val="00D90F17"/>
    <w:rsid w:val="00D93DD5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204"/>
    <w:rsid w:val="00E07425"/>
    <w:rsid w:val="00E07A05"/>
    <w:rsid w:val="00E16025"/>
    <w:rsid w:val="00E167FD"/>
    <w:rsid w:val="00E16F50"/>
    <w:rsid w:val="00E24179"/>
    <w:rsid w:val="00E31783"/>
    <w:rsid w:val="00E36636"/>
    <w:rsid w:val="00E37B17"/>
    <w:rsid w:val="00E43A34"/>
    <w:rsid w:val="00E44D37"/>
    <w:rsid w:val="00E52850"/>
    <w:rsid w:val="00E609A5"/>
    <w:rsid w:val="00E61928"/>
    <w:rsid w:val="00E656D2"/>
    <w:rsid w:val="00E7276C"/>
    <w:rsid w:val="00E84382"/>
    <w:rsid w:val="00E87BE9"/>
    <w:rsid w:val="00E90E59"/>
    <w:rsid w:val="00E9180B"/>
    <w:rsid w:val="00EA0646"/>
    <w:rsid w:val="00EA2BA4"/>
    <w:rsid w:val="00EA3103"/>
    <w:rsid w:val="00EB10EA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778B9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12864FC"/>
    <w:rsid w:val="01826A17"/>
    <w:rsid w:val="06155CFB"/>
    <w:rsid w:val="09616F12"/>
    <w:rsid w:val="0A56459C"/>
    <w:rsid w:val="0EE83C31"/>
    <w:rsid w:val="10F863AD"/>
    <w:rsid w:val="113741D2"/>
    <w:rsid w:val="13070B2A"/>
    <w:rsid w:val="184459BE"/>
    <w:rsid w:val="190D2C12"/>
    <w:rsid w:val="1B5366E0"/>
    <w:rsid w:val="1D34261E"/>
    <w:rsid w:val="1EFC297D"/>
    <w:rsid w:val="1F4629DA"/>
    <w:rsid w:val="226713BB"/>
    <w:rsid w:val="2573498E"/>
    <w:rsid w:val="257A518B"/>
    <w:rsid w:val="25D53E1D"/>
    <w:rsid w:val="27CE17BE"/>
    <w:rsid w:val="29E928DF"/>
    <w:rsid w:val="2EEE2746"/>
    <w:rsid w:val="31077AEF"/>
    <w:rsid w:val="31CF549D"/>
    <w:rsid w:val="382B0567"/>
    <w:rsid w:val="38DB3D3B"/>
    <w:rsid w:val="3C7F70D3"/>
    <w:rsid w:val="46A71700"/>
    <w:rsid w:val="4DB82445"/>
    <w:rsid w:val="4EDF13E6"/>
    <w:rsid w:val="4F31425D"/>
    <w:rsid w:val="527E074E"/>
    <w:rsid w:val="579503FF"/>
    <w:rsid w:val="5ECC5D50"/>
    <w:rsid w:val="60535296"/>
    <w:rsid w:val="607F732C"/>
    <w:rsid w:val="636522D0"/>
    <w:rsid w:val="64A643C4"/>
    <w:rsid w:val="666B5E4F"/>
    <w:rsid w:val="6A362A14"/>
    <w:rsid w:val="6A6E3115"/>
    <w:rsid w:val="6B657311"/>
    <w:rsid w:val="6BC92EDE"/>
    <w:rsid w:val="6C770E7C"/>
    <w:rsid w:val="72FD2525"/>
    <w:rsid w:val="73243F55"/>
    <w:rsid w:val="7394437D"/>
    <w:rsid w:val="75575F1C"/>
    <w:rsid w:val="7A8F7F06"/>
    <w:rsid w:val="7BF117AB"/>
    <w:rsid w:val="7C1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link w:val="27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link w:val="29"/>
    <w:uiPriority w:val="0"/>
    <w:pPr>
      <w:jc w:val="left"/>
    </w:pPr>
    <w:rPr>
      <w:rFonts w:ascii="Calibri" w:hAnsi="Calibri" w:eastAsia="宋体" w:cs="Times New Roman"/>
      <w:lang w:val="en-US" w:eastAsia="zh-CN" w:bidi="ar-SA"/>
    </w:rPr>
  </w:style>
  <w:style w:type="paragraph" w:styleId="4">
    <w:name w:val="Balloon Text"/>
    <w:link w:val="26"/>
    <w:qFormat/>
    <w:uiPriority w:val="0"/>
    <w:rPr>
      <w:rFonts w:ascii="Calibri" w:hAnsi="Calibri" w:eastAsia="宋体" w:cs="Times New Roman"/>
      <w:sz w:val="18"/>
      <w:szCs w:val="18"/>
      <w:lang w:val="en-US" w:eastAsia="zh-CN" w:bidi="ar-SA"/>
    </w:rPr>
  </w:style>
  <w:style w:type="paragraph" w:styleId="5">
    <w:name w:val="footer"/>
    <w:link w:val="24"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  <w:lang w:val="en-US" w:eastAsia="zh-CN" w:bidi="ar-SA"/>
    </w:rPr>
  </w:style>
  <w:style w:type="paragraph" w:styleId="6">
    <w:name w:val="header"/>
    <w:link w:val="25"/>
    <w:uiPriority w:val="0"/>
    <w:pPr>
      <w:pBdr>
        <w:bottom w:val="single" w:color="auto" w:sz="6" w:space="1"/>
      </w:pBdr>
      <w:snapToGrid w:val="0"/>
      <w:jc w:val="center"/>
    </w:pPr>
    <w:rPr>
      <w:rFonts w:ascii="Calibri" w:hAnsi="Calibri" w:eastAsia="宋体" w:cs="Times New Roman"/>
      <w:sz w:val="18"/>
      <w:szCs w:val="18"/>
      <w:lang w:val="en-US" w:eastAsia="zh-CN" w:bidi="ar-SA"/>
    </w:rPr>
  </w:style>
  <w:style w:type="paragraph" w:styleId="7">
    <w:name w:val="annotation subject"/>
    <w:link w:val="30"/>
    <w:autoRedefine/>
    <w:qFormat/>
    <w:uiPriority w:val="0"/>
    <w:rPr>
      <w:rFonts w:ascii="Calibri" w:hAnsi="Calibri" w:eastAsia="宋体" w:cs="Times New Roman"/>
      <w:b/>
      <w:bCs/>
      <w:lang w:val="en-US" w:eastAsia="zh-CN" w:bidi="ar-SA"/>
    </w:rPr>
  </w:style>
  <w:style w:type="character" w:styleId="10">
    <w:name w:val="line number"/>
    <w:autoRedefine/>
    <w:qFormat/>
    <w:uiPriority w:val="0"/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页脚 Char"/>
    <w:link w:val="5"/>
    <w:autoRedefine/>
    <w:qFormat/>
    <w:uiPriority w:val="0"/>
    <w:rPr>
      <w:sz w:val="18"/>
      <w:szCs w:val="18"/>
    </w:rPr>
  </w:style>
  <w:style w:type="character" w:customStyle="1" w:styleId="13">
    <w:name w:val="页眉 Char"/>
    <w:link w:val="6"/>
    <w:autoRedefine/>
    <w:qFormat/>
    <w:uiPriority w:val="0"/>
    <w:rPr>
      <w:sz w:val="18"/>
      <w:szCs w:val="18"/>
    </w:rPr>
  </w:style>
  <w:style w:type="paragraph" w:styleId="14">
    <w:name w:val="List Paragraph"/>
    <w:autoRedefine/>
    <w:qFormat/>
    <w:uiPriority w:val="0"/>
    <w:pPr>
      <w:ind w:firstLine="420" w:firstLineChars="200"/>
    </w:pPr>
    <w:rPr>
      <w:rFonts w:ascii="Calibri" w:hAnsi="Calibri" w:eastAsia="宋体" w:cs="Times New Roman"/>
      <w:lang w:val="en-US" w:eastAsia="zh-CN" w:bidi="ar-SA"/>
    </w:rPr>
  </w:style>
  <w:style w:type="character" w:customStyle="1" w:styleId="15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7">
    <w:name w:val="TOC 标题1"/>
    <w:basedOn w:val="2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8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19">
    <w:name w:val="批注主题 Char"/>
    <w:link w:val="7"/>
    <w:autoRedefine/>
    <w:qFormat/>
    <w:uiPriority w:val="0"/>
    <w:rPr>
      <w:b/>
      <w:bCs/>
      <w:kern w:val="2"/>
      <w:sz w:val="21"/>
      <w:szCs w:val="22"/>
    </w:rPr>
  </w:style>
  <w:style w:type="character" w:customStyle="1" w:styleId="20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2">
    <w:name w:val="fontstyle11"/>
    <w:autoRedefine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3">
    <w:name w:val="fontstyle31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4">
    <w:name w:val="页脚 Char1"/>
    <w:link w:val="5"/>
    <w:autoRedefine/>
    <w:uiPriority w:val="0"/>
    <w:rPr>
      <w:sz w:val="18"/>
      <w:szCs w:val="18"/>
    </w:rPr>
  </w:style>
  <w:style w:type="character" w:customStyle="1" w:styleId="25">
    <w:name w:val="页眉 Char1"/>
    <w:link w:val="6"/>
    <w:autoRedefine/>
    <w:qFormat/>
    <w:uiPriority w:val="0"/>
    <w:rPr>
      <w:sz w:val="18"/>
      <w:szCs w:val="18"/>
    </w:rPr>
  </w:style>
  <w:style w:type="character" w:customStyle="1" w:styleId="26">
    <w:name w:val="批注框文本 Char1"/>
    <w:link w:val="4"/>
    <w:autoRedefine/>
    <w:qFormat/>
    <w:uiPriority w:val="0"/>
    <w:rPr>
      <w:kern w:val="2"/>
      <w:sz w:val="18"/>
      <w:szCs w:val="18"/>
    </w:rPr>
  </w:style>
  <w:style w:type="character" w:customStyle="1" w:styleId="27">
    <w:name w:val="标题 1 Char1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28">
    <w:name w:val="TOC 标题1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  <w:lang w:val="en-US" w:eastAsia="zh-CN" w:bidi="ar-SA"/>
    </w:rPr>
  </w:style>
  <w:style w:type="character" w:customStyle="1" w:styleId="29">
    <w:name w:val="批注文字 Char1"/>
    <w:link w:val="3"/>
    <w:qFormat/>
    <w:uiPriority w:val="0"/>
    <w:rPr>
      <w:kern w:val="2"/>
      <w:sz w:val="21"/>
      <w:szCs w:val="22"/>
    </w:rPr>
  </w:style>
  <w:style w:type="character" w:customStyle="1" w:styleId="30">
    <w:name w:val="批注主题 Char1"/>
    <w:link w:val="7"/>
    <w:autoRedefine/>
    <w:qFormat/>
    <w:uiPriority w:val="0"/>
    <w:rPr>
      <w:b/>
      <w:bCs/>
      <w:kern w:val="2"/>
      <w:sz w:val="21"/>
      <w:szCs w:val="22"/>
    </w:rPr>
  </w:style>
  <w:style w:type="character" w:customStyle="1" w:styleId="31">
    <w:name w:val="fontstyle01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32">
    <w:name w:val="fontstyle211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33">
    <w:name w:val="fontstyle111"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34">
    <w:name w:val="fontstyle311"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25</Pages>
  <Words>1359</Words>
  <Characters>7749</Characters>
  <Lines>64</Lines>
  <Paragraphs>18</Paragraphs>
  <TotalTime>301</TotalTime>
  <ScaleCrop>false</ScaleCrop>
  <LinksUpToDate>false</LinksUpToDate>
  <CharactersWithSpaces>9090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Administrator</cp:lastModifiedBy>
  <dcterms:modified xsi:type="dcterms:W3CDTF">2024-04-03T08:06:33Z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75C4C2D3214F446CA30E7BBF11B192CE_13</vt:lpwstr>
  </property>
</Properties>
</file>