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积石山县东西协作产业合作专项奖补方案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根据《甘肃省东西协作产业合作专项奖补资金管理办法（试行）的通知》》（甘农发规〔2021〕3号）精神，为落实落细东西协作产业合作引进企业奖补政策，充分调动引进企业发展的积极性，特制定本奖补方案。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一、奖补对象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积石山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银都农业科技发展有限公司，为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济南章丘区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银都农业科技发展有限公司持股企业，持股比例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60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%，于202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日注册于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积石山县关家川乡何家村何下社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。该公司重点投资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于农产品深加工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，主要生产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脱水蔬菜、速冻蔬菜、新鲜蔬菜为主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，促进了当地的经济发展，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解决群众菜篮子、蔬菜滞销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带动了脱贫人口增收。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二、奖补标准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按照奖补审核期内新增投资额的2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％进行奖补，且享受的奖补资金额不超过100万元，资金来源为山东省东西协作财政援助资金。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三、评审情况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积石山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银都农业科技发展有限公司向我局提交了《甘肃省东西部协作产业合作专项奖补资金申请表》《利益联结机制带动劳动人员花名册》《投资明细表》及申请产业奖补资金所需的证明与相关材料。经项目评审组初步审核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该公司在202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月至2022年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月奖补审核期内新增投资额达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386.16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其中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土地流转费用150万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元、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固定务工人员劳务费117.93万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元、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临时工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劳务费用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60.63万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、场地租赁费57.6万元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，新增投资符合用于产业发展的要求，证明材料真实有效：通过利益联结机制带动脱贫劳动力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800多户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增收，其中吸纳务工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1200人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，利益联结带动成效明显。利益联结带动成效明显。综合评定，该企业符合产业合作专项奖补条件，建议奖补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96.54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四、保障措施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b/>
          <w:bCs/>
          <w:sz w:val="32"/>
          <w:szCs w:val="32"/>
          <w:lang w:val="en-US" w:eastAsia="zh-CN"/>
        </w:rPr>
        <w:t>（一）加强组织领导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。成立由县农业农村局和东西部协作工作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办公室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业务干部为成员的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积石山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县东西部协作产业合作工作领导小组，负责建立东西部产业合作工作的组织协调机制，完善工作组运行流程，全面统筹协调推进各项工作，努力形成领导有力、权责明晰，分工明确、运转有序的“一盘棋”格局。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b/>
          <w:bCs/>
          <w:sz w:val="32"/>
          <w:szCs w:val="32"/>
          <w:lang w:val="en-US" w:eastAsia="zh-CN"/>
        </w:rPr>
        <w:t>（二）强化资金监督。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县农业农村局同东西部协作工作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办公室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等部门要发挥好专项奖补资金监管的主体责任，确保产业奖补资金用于补贴厂房等建筑物建设或租赁、土地购置或租赁、基础设施配套、设备购置或租赁，以及项目企业用电、用工工资等与产业相关领域。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b/>
          <w:bCs/>
          <w:sz w:val="32"/>
          <w:szCs w:val="32"/>
          <w:lang w:val="en-US" w:eastAsia="zh-CN"/>
        </w:rPr>
        <w:t>（三）抓好日常监督。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企业获得专项奖补资金后，要依法依规使用专项奖补资金，积极配合审计、农业农村、东西部协作工作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办公室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等部门做好日常监督。同时自审定结果盖章之日起，企业要持续经营三年以上，不可抗力及非企业因素造成的运营中止除外。企业如有违法手段骗取奖补资金的行为，视情节采取取消申请资格、不予拨付奖补资金、追回已拨付的奖补资金等措施。情节严重的，交有关部门迫究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/>
        <w:textAlignment w:val="auto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firstLine="880" w:firstLineChars="200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YzY2YTg2ZjYwMmRhYjE1MjA0ZjkyOTY2MDQwNmEifQ=="/>
  </w:docVars>
  <w:rsids>
    <w:rsidRoot w:val="00000000"/>
    <w:rsid w:val="36F34F42"/>
    <w:rsid w:val="7AD1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ˉ安mm。</cp:lastModifiedBy>
  <cp:lastPrinted>2023-09-13T08:12:00Z</cp:lastPrinted>
  <dcterms:modified xsi:type="dcterms:W3CDTF">2023-09-13T08:37:11Z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EF11F04891E24822A9899DD0D81B266E_12</vt:lpwstr>
  </property>
</Properties>
</file>