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宋体" w:hAnsi="宋体" w:cs="宋体"/>
          <w:b/>
          <w:bCs/>
          <w:kern w:val="0"/>
          <w:sz w:val="44"/>
          <w:szCs w:val="44"/>
          <w:lang w:val="en-US" w:eastAsia="zh-CN"/>
        </w:rPr>
      </w:pPr>
      <w:r>
        <w:rPr>
          <w:rFonts w:hint="eastAsia" w:ascii="宋体" w:hAnsi="宋体" w:cs="宋体"/>
          <w:b/>
          <w:bCs/>
          <w:kern w:val="0"/>
          <w:sz w:val="44"/>
          <w:szCs w:val="44"/>
          <w:lang w:val="en-US" w:eastAsia="zh-CN"/>
        </w:rPr>
        <w:t>中共积石山县委办公室</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一、部门/单位职责</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第一条</w:t>
      </w:r>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根据《中共临夏州委办公室临夏州人民政府办公室关于批转</w:t>
      </w:r>
      <w:r>
        <w:rPr>
          <w:rFonts w:ascii="仿宋_GB2312" w:hAnsi="仿宋_GB2312" w:eastAsia="仿宋_GB2312" w:cs="仿宋_GB2312"/>
          <w:bCs/>
          <w:kern w:val="0"/>
          <w:sz w:val="32"/>
          <w:szCs w:val="32"/>
        </w:rPr>
        <w:t>&lt;</w:t>
      </w:r>
      <w:r>
        <w:rPr>
          <w:rFonts w:hint="eastAsia" w:ascii="仿宋_GB2312" w:hAnsi="仿宋_GB2312" w:eastAsia="仿宋_GB2312" w:cs="仿宋_GB2312"/>
          <w:bCs/>
          <w:kern w:val="0"/>
          <w:sz w:val="32"/>
          <w:szCs w:val="32"/>
        </w:rPr>
        <w:t>积石山保安族东乡族撒拉族自治县机构改革方案</w:t>
      </w:r>
      <w:r>
        <w:rPr>
          <w:rFonts w:ascii="仿宋_GB2312" w:hAnsi="仿宋_GB2312" w:eastAsia="仿宋_GB2312" w:cs="仿宋_GB2312"/>
          <w:bCs/>
          <w:kern w:val="0"/>
          <w:sz w:val="32"/>
          <w:szCs w:val="32"/>
        </w:rPr>
        <w:t>&gt;</w:t>
      </w:r>
      <w:r>
        <w:rPr>
          <w:rFonts w:hint="eastAsia" w:ascii="仿宋_GB2312" w:hAnsi="仿宋_GB2312" w:eastAsia="仿宋_GB2312" w:cs="仿宋_GB2312"/>
          <w:bCs/>
          <w:kern w:val="0"/>
          <w:sz w:val="32"/>
          <w:szCs w:val="32"/>
        </w:rPr>
        <w:t>的通知》（州委办发〔</w:t>
      </w:r>
      <w:r>
        <w:rPr>
          <w:rFonts w:ascii="仿宋_GB2312" w:hAnsi="仿宋_GB2312" w:eastAsia="仿宋_GB2312" w:cs="仿宋_GB2312"/>
          <w:bCs/>
          <w:kern w:val="0"/>
          <w:sz w:val="32"/>
          <w:szCs w:val="32"/>
        </w:rPr>
        <w:t>2019</w:t>
      </w:r>
      <w:r>
        <w:rPr>
          <w:rFonts w:hint="eastAsia" w:ascii="仿宋_GB2312" w:hAnsi="仿宋_GB2312" w:eastAsia="仿宋_GB2312" w:cs="仿宋_GB2312"/>
          <w:bCs/>
          <w:kern w:val="0"/>
          <w:sz w:val="32"/>
          <w:szCs w:val="32"/>
        </w:rPr>
        <w:t>〕</w:t>
      </w:r>
      <w:r>
        <w:rPr>
          <w:rFonts w:ascii="仿宋_GB2312" w:hAnsi="仿宋_GB2312" w:eastAsia="仿宋_GB2312" w:cs="仿宋_GB2312"/>
          <w:bCs/>
          <w:kern w:val="0"/>
          <w:sz w:val="32"/>
          <w:szCs w:val="32"/>
        </w:rPr>
        <w:t>12</w:t>
      </w:r>
      <w:r>
        <w:rPr>
          <w:rFonts w:hint="eastAsia" w:ascii="仿宋_GB2312" w:hAnsi="仿宋_GB2312" w:eastAsia="仿宋_GB2312" w:cs="仿宋_GB2312"/>
          <w:bCs/>
          <w:kern w:val="0"/>
          <w:sz w:val="32"/>
          <w:szCs w:val="32"/>
        </w:rPr>
        <w:t>号）和中共积石山县委办公室、积石山县人民政府办公室《关于贯彻落实</w:t>
      </w:r>
      <w:r>
        <w:rPr>
          <w:rFonts w:ascii="仿宋_GB2312" w:hAnsi="仿宋_GB2312" w:eastAsia="仿宋_GB2312" w:cs="仿宋_GB2312"/>
          <w:bCs/>
          <w:kern w:val="0"/>
          <w:sz w:val="32"/>
          <w:szCs w:val="32"/>
        </w:rPr>
        <w:t>&lt;</w:t>
      </w:r>
      <w:r>
        <w:rPr>
          <w:rFonts w:hint="eastAsia" w:ascii="仿宋_GB2312" w:hAnsi="仿宋_GB2312" w:eastAsia="仿宋_GB2312" w:cs="仿宋_GB2312"/>
          <w:bCs/>
          <w:kern w:val="0"/>
          <w:sz w:val="32"/>
          <w:szCs w:val="32"/>
        </w:rPr>
        <w:t>积石山保安族东乡族撒拉族自治县机构改革方案</w:t>
      </w:r>
      <w:r>
        <w:rPr>
          <w:rFonts w:ascii="仿宋_GB2312" w:hAnsi="仿宋_GB2312" w:eastAsia="仿宋_GB2312" w:cs="仿宋_GB2312"/>
          <w:bCs/>
          <w:kern w:val="0"/>
          <w:sz w:val="32"/>
          <w:szCs w:val="32"/>
        </w:rPr>
        <w:t>&gt;</w:t>
      </w:r>
      <w:r>
        <w:rPr>
          <w:rFonts w:hint="eastAsia" w:ascii="仿宋_GB2312" w:hAnsi="仿宋_GB2312" w:eastAsia="仿宋_GB2312" w:cs="仿宋_GB2312"/>
          <w:bCs/>
          <w:kern w:val="0"/>
          <w:sz w:val="32"/>
          <w:szCs w:val="32"/>
        </w:rPr>
        <w:t>的实施意见》</w:t>
      </w:r>
      <w:r>
        <w:rPr>
          <w:rFonts w:hint="eastAsia" w:ascii="仿宋" w:hAnsi="仿宋" w:eastAsia="仿宋" w:cs="仿宋"/>
          <w:bCs/>
          <w:kern w:val="0"/>
          <w:sz w:val="32"/>
          <w:szCs w:val="32"/>
        </w:rPr>
        <w:t>（积县委办发〔</w:t>
      </w:r>
      <w:r>
        <w:rPr>
          <w:rFonts w:ascii="仿宋" w:hAnsi="仿宋" w:eastAsia="仿宋" w:cs="仿宋"/>
          <w:bCs/>
          <w:kern w:val="0"/>
          <w:sz w:val="32"/>
          <w:szCs w:val="32"/>
        </w:rPr>
        <w:t>2019</w:t>
      </w:r>
      <w:r>
        <w:rPr>
          <w:rFonts w:hint="eastAsia" w:ascii="仿宋" w:hAnsi="仿宋" w:eastAsia="仿宋" w:cs="仿宋"/>
          <w:bCs/>
          <w:kern w:val="0"/>
          <w:sz w:val="32"/>
          <w:szCs w:val="32"/>
        </w:rPr>
        <w:t>〕</w:t>
      </w:r>
      <w:r>
        <w:rPr>
          <w:rFonts w:ascii="仿宋" w:hAnsi="仿宋" w:eastAsia="仿宋" w:cs="仿宋"/>
          <w:bCs/>
          <w:kern w:val="0"/>
          <w:sz w:val="32"/>
          <w:szCs w:val="32"/>
        </w:rPr>
        <w:t>6</w:t>
      </w:r>
      <w:r>
        <w:rPr>
          <w:rFonts w:hint="eastAsia" w:ascii="仿宋" w:hAnsi="仿宋" w:eastAsia="仿宋" w:cs="仿宋"/>
          <w:bCs/>
          <w:kern w:val="0"/>
          <w:sz w:val="32"/>
          <w:szCs w:val="32"/>
        </w:rPr>
        <w:t>号）文件精神</w:t>
      </w:r>
      <w:r>
        <w:rPr>
          <w:rFonts w:hint="eastAsia" w:ascii="仿宋_GB2312" w:hAnsi="仿宋_GB2312" w:eastAsia="仿宋_GB2312" w:cs="仿宋_GB2312"/>
          <w:bCs/>
          <w:kern w:val="0"/>
          <w:sz w:val="32"/>
          <w:szCs w:val="32"/>
        </w:rPr>
        <w:t>，制定本规定。</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ascii="仿宋_GB2312" w:hAnsi="仿宋_GB2312" w:eastAsia="仿宋_GB2312" w:cs="仿宋_GB2312"/>
          <w:b/>
          <w:kern w:val="0"/>
          <w:sz w:val="32"/>
          <w:szCs w:val="32"/>
        </w:rPr>
        <w:t xml:space="preserve"> </w:t>
      </w:r>
      <w:r>
        <w:rPr>
          <w:rFonts w:hint="eastAsia" w:ascii="仿宋_GB2312" w:hAnsi="仿宋_GB2312" w:eastAsia="仿宋_GB2312" w:cs="仿宋_GB2312"/>
          <w:b/>
          <w:kern w:val="0"/>
          <w:sz w:val="32"/>
          <w:szCs w:val="32"/>
        </w:rPr>
        <w:t>第二条</w:t>
      </w:r>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县委办公室是县委机关，为正科级，加挂县档案局、县机要和保密局、县国家保密局、县国家密码管理局牌子。</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ascii="仿宋_GB2312" w:hAnsi="仿宋_GB2312" w:eastAsia="仿宋_GB2312" w:cs="仿宋_GB2312"/>
          <w:b/>
          <w:kern w:val="0"/>
          <w:sz w:val="32"/>
          <w:szCs w:val="32"/>
        </w:rPr>
        <w:t xml:space="preserve"> </w:t>
      </w:r>
      <w:r>
        <w:rPr>
          <w:rFonts w:hint="eastAsia" w:ascii="仿宋_GB2312" w:hAnsi="仿宋_GB2312" w:eastAsia="仿宋_GB2312" w:cs="仿宋_GB2312"/>
          <w:b/>
          <w:kern w:val="0"/>
          <w:sz w:val="32"/>
          <w:szCs w:val="32"/>
        </w:rPr>
        <w:t>第三条</w:t>
      </w:r>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县委全面深化改革委员会办公室设在县委办公室，接受县委全面深化改革委员会直接领导，承担全面深化改革委员会具体工作，组织开展全面深化改革重大问题的政策研究，协调督促有关方面落实县委全面深化改革委员会决定事项、工作部署和要求等；县委国家安全委员会具体工作由县委办公室承担；县委财经委员会办公室设在县委办公室，接受县委财经委员会直接领导，承担县委财经委员会具体工作，组织开展财经重大问题的政策研究，协调督促有关方面落实县委财经委员会决定事项、工作部署和要求等。</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第四条</w:t>
      </w:r>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县委办公室内设机构根据工作需要承担县委全面深化改革委员会办公室、县委国家安全委员会、县委财经委员会办公室相关工作，负责处理县委全面深化改革委员会办公室、县委国家安全委员会、县委财经委员会办公室日常事务，接受县委全面深化改革委员会办公室、县委国家安全委员会、县委财经委员会办公室统筹协调。</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第五条</w:t>
      </w:r>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县委办公室贯彻落实党中央和省州及县委的各项方针政策和决策部署，在履行职责过程中坚持和加强党的集中统一领导。主要职责是：</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（一）负责县委领导同志参加的重大活动的组织安排，县党代会、县委全会、常委会、书记办公会等会议的服务工作。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（二）负责县委和办公室文件、文稿的起草、审核、校对、印发工作，负责全县党委系统文件管理的业务指导和文件保密工作。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（三）负责县委日常文电的收发处理，县委重要决策和重大工作部署的贯彻落实和督促检查，县委领导同志批示的催办落实。</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（四）负责收集、处理、报送信息，指导全县党委系统的信息工作，围绕县委总体工作部署，开展调查研究。</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（五）负责县委保密工作、机要工作和接待工作。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（六）负责县委机关国有资产管理、财务管理、劳动工资和县委办公室的人事劳资和后勤服务工作。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（七）负责县委机关的安全保卫及综合治理工作。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（八）完成县委领导交办的其他工作。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（九）职能转变。县档案局（县档案馆）的行政职能划入县委办公室；县委办公室承担县委全面深化改革委员会办公室、县委国家安全委员会、县委财经委员会办公室相关工作。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（十）有关职责分工。</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rPr>
        <w:t>对全县各乡镇和机关、团体、企事业单位的档案工作实行监督、检查和指导。</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承担全面深化改革委员会具体工作，组织开展全面深化改革重大问题的政策研究，协调督促有关方面落实县委全面深化改革委员会决定事项、工作部署和要求等。</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rPr>
        <w:t>承担县委国家安全委员会具体工作。</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4.</w:t>
      </w:r>
      <w:r>
        <w:rPr>
          <w:rFonts w:hint="eastAsia" w:ascii="仿宋_GB2312" w:hAnsi="仿宋_GB2312" w:eastAsia="仿宋_GB2312" w:cs="仿宋_GB2312"/>
          <w:bCs/>
          <w:kern w:val="0"/>
          <w:sz w:val="32"/>
          <w:szCs w:val="32"/>
        </w:rPr>
        <w:t>承担县委财经委员会具体工作，组织开展财经重大问题的政策研究，协调督促有关方面落实县委财经委员会决定事项、工作部署和要求等。</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tabs>
          <w:tab w:val="left" w:pos="941"/>
        </w:tabs>
        <w:spacing w:line="6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县委办公室内设以下</w:t>
      </w:r>
      <w:r>
        <w:rPr>
          <w:rFonts w:ascii="仿宋_GB2312" w:hAnsi="仿宋_GB2312" w:eastAsia="仿宋_GB2312" w:cs="仿宋_GB2312"/>
          <w:bCs/>
          <w:kern w:val="0"/>
          <w:sz w:val="32"/>
          <w:szCs w:val="32"/>
        </w:rPr>
        <w:t>8</w:t>
      </w:r>
      <w:r>
        <w:rPr>
          <w:rFonts w:hint="eastAsia" w:ascii="仿宋_GB2312" w:hAnsi="仿宋_GB2312" w:eastAsia="仿宋_GB2312" w:cs="仿宋_GB2312"/>
          <w:bCs/>
          <w:kern w:val="0"/>
          <w:sz w:val="32"/>
          <w:szCs w:val="32"/>
        </w:rPr>
        <w:t>个股级机构</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秘书股。</w:t>
      </w:r>
      <w:r>
        <w:rPr>
          <w:rFonts w:hint="eastAsia" w:ascii="仿宋_GB2312" w:hAnsi="仿宋_GB2312" w:eastAsia="仿宋_GB2312" w:cs="仿宋_GB2312"/>
          <w:bCs/>
          <w:kern w:val="0"/>
          <w:sz w:val="32"/>
          <w:szCs w:val="32"/>
        </w:rPr>
        <w:t>负责全县经济、社会各项事业工作情况的文字综合；负责起草县党代会、县委全会报告、县委工作要点等综合性文稿；负责起草县委领导在有关会议上的讲话、县委关于重大问题向上级的请示和报告及领导交办的其他文稿；负责县委常委会会议及其他重要会议记录工作，起草会议纪要；负责县委和县委办公室有关文件的起草、校核工作。</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综合股。</w:t>
      </w:r>
      <w:r>
        <w:rPr>
          <w:rFonts w:hint="eastAsia" w:ascii="仿宋_GB2312" w:hAnsi="仿宋_GB2312" w:eastAsia="仿宋_GB2312" w:cs="仿宋_GB2312"/>
          <w:bCs/>
          <w:kern w:val="0"/>
          <w:sz w:val="32"/>
          <w:szCs w:val="32"/>
        </w:rPr>
        <w:t>负责处理县委办公室的日常事务，协调职能股室间有关工作，做到程序规范、运转高效；负责县委、县政府召开的全县性重要会议，以及领导交办的其他会议的会务工作；做好县委各会议室的日常管理服务工作；负责县级领导公务活动的组织协调工作；负责县委办公室日常值班的协调管理工作。</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信息股。</w:t>
      </w:r>
      <w:r>
        <w:rPr>
          <w:rFonts w:hint="eastAsia" w:ascii="仿宋_GB2312" w:hAnsi="仿宋_GB2312" w:eastAsia="仿宋_GB2312" w:cs="仿宋_GB2312"/>
          <w:bCs/>
          <w:kern w:val="0"/>
          <w:sz w:val="32"/>
          <w:szCs w:val="32"/>
        </w:rPr>
        <w:t>负责收集、处理、报送信息，围绕县委总体部署开展调查研究工作。</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文档股。</w:t>
      </w:r>
      <w:r>
        <w:rPr>
          <w:rFonts w:hint="eastAsia" w:ascii="仿宋_GB2312" w:hAnsi="仿宋_GB2312" w:eastAsia="仿宋_GB2312" w:cs="仿宋_GB2312"/>
          <w:bCs/>
          <w:kern w:val="0"/>
          <w:sz w:val="32"/>
          <w:szCs w:val="32"/>
        </w:rPr>
        <w:t>做好来文来电、报送材料等的接办、登记、分送、清退、归档等工作；负责县委、县委办公室文件的印制及分发，做好县委办公室电子政务有关工作；负责有关党报、党刊的征订和县委信函的收发、处理，做好县委、县委办公室机关内部保密工作及档案资料的管理工作，协调、指导全县党委系统文件管理工作。</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督查室。</w:t>
      </w:r>
      <w:r>
        <w:rPr>
          <w:rFonts w:hint="eastAsia" w:ascii="仿宋_GB2312" w:hAnsi="仿宋_GB2312" w:eastAsia="仿宋_GB2312" w:cs="仿宋_GB2312"/>
          <w:bCs/>
          <w:kern w:val="0"/>
          <w:sz w:val="32"/>
          <w:szCs w:val="32"/>
        </w:rPr>
        <w:t>负责县委重要决策和重大工作部署贯彻落实的督促检查，县委指示、县委领导同志指示的催办落实工作。</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党内法规股。</w:t>
      </w:r>
      <w:r>
        <w:rPr>
          <w:rFonts w:hint="eastAsia" w:ascii="仿宋_GB2312" w:hAnsi="仿宋_GB2312" w:eastAsia="仿宋_GB2312" w:cs="仿宋_GB2312"/>
          <w:bCs/>
          <w:kern w:val="0"/>
          <w:sz w:val="32"/>
          <w:szCs w:val="32"/>
        </w:rPr>
        <w:t>督促落实各乡镇党委、县委各部委办党内规范性文件备案工作，并审核备案党内政策法规方面的文件材料，及时向上级部门上报备案的文件材料。</w:t>
      </w:r>
    </w:p>
    <w:p>
      <w:pPr>
        <w:tabs>
          <w:tab w:val="left" w:pos="941"/>
        </w:tabs>
        <w:spacing w:line="62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机要保密室。</w:t>
      </w:r>
      <w:r>
        <w:rPr>
          <w:rFonts w:hint="eastAsia" w:ascii="仿宋_GB2312" w:hAnsi="仿宋_GB2312" w:eastAsia="仿宋_GB2312" w:cs="仿宋_GB2312"/>
          <w:bCs/>
          <w:kern w:val="0"/>
          <w:sz w:val="32"/>
          <w:szCs w:val="32"/>
        </w:rPr>
        <w:t>负责全县密码通信和党内机要文件处理工作；负责全县党政系统文件管理业务指导和文件的保密工作。</w:t>
      </w:r>
    </w:p>
    <w:p>
      <w:pPr>
        <w:spacing w:line="600" w:lineRule="exact"/>
        <w:ind w:firstLine="643" w:firstLineChars="200"/>
        <w:rPr>
          <w:rFonts w:ascii="仿宋_GB2312" w:hAnsi="仿宋" w:eastAsia="仿宋_GB2312" w:cs="宋体"/>
          <w:kern w:val="0"/>
          <w:sz w:val="32"/>
          <w:szCs w:val="32"/>
        </w:rPr>
      </w:pPr>
      <w:r>
        <w:rPr>
          <w:rFonts w:hint="eastAsia" w:ascii="仿宋_GB2312" w:hAnsi="仿宋_GB2312" w:eastAsia="仿宋_GB2312" w:cs="仿宋_GB2312"/>
          <w:b/>
          <w:kern w:val="0"/>
          <w:sz w:val="32"/>
          <w:szCs w:val="32"/>
        </w:rPr>
        <w:t>后勤股。</w:t>
      </w:r>
      <w:r>
        <w:rPr>
          <w:rFonts w:hint="eastAsia" w:ascii="仿宋_GB2312" w:hAnsi="仿宋_GB2312" w:eastAsia="仿宋_GB2312" w:cs="仿宋_GB2312"/>
          <w:bCs/>
          <w:kern w:val="0"/>
          <w:sz w:val="32"/>
          <w:szCs w:val="32"/>
        </w:rPr>
        <w:t>负责县委机关国有资产管理、财务管理、劳动工资和县委办公室的人事劳资和后勤服务工作；负责县委大院的水、电、暖、环境卫生、绿化美化等后勤管理工作；负责县委大院的统一规划管理，承建和管理县委安排的基建项目；负责县委大院的治安保卫和消防工作，参与组织有关会议及其他重要活动的组织、协调、服务工作；负责全县接待工作及领导交办的其他接待任务。</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二</w:t>
      </w:r>
      <w:r>
        <w:rPr>
          <w:rFonts w:hint="eastAsia" w:ascii="楷体_GB2312" w:hAnsi="楷体" w:eastAsia="楷体_GB2312" w:cs="宋体"/>
          <w:b/>
          <w:bCs/>
          <w:kern w:val="0"/>
          <w:sz w:val="32"/>
          <w:szCs w:val="32"/>
        </w:rPr>
        <w:t>）直属事业单位</w:t>
      </w:r>
    </w:p>
    <w:p>
      <w:pPr>
        <w:spacing w:line="600" w:lineRule="exact"/>
        <w:ind w:firstLine="640" w:firstLineChars="200"/>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下设县委机要和保密技术服务中心、县委信息中心、县委督查服务中心。</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1066</w:t>
      </w:r>
      <w:r>
        <w:rPr>
          <w:rFonts w:hint="eastAsia" w:ascii="仿宋_GB2312" w:hAnsi="仿宋" w:eastAsia="仿宋_GB2312" w:cs="宋体"/>
          <w:kern w:val="0"/>
          <w:sz w:val="32"/>
          <w:szCs w:val="32"/>
        </w:rPr>
        <w:t>万元。按照综合预算的原则，部门（单位）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sz w:val="32"/>
          <w:szCs w:val="32"/>
          <w:lang w:val="en-US" w:eastAsia="zh-CN"/>
        </w:rPr>
        <w:t>1066</w:t>
      </w:r>
      <w:r>
        <w:rPr>
          <w:rFonts w:hint="eastAsia" w:ascii="仿宋_GB2312" w:hAnsi="仿宋" w:eastAsia="仿宋_GB2312"/>
          <w:sz w:val="32"/>
          <w:szCs w:val="32"/>
        </w:rPr>
        <w:t>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sz w:val="32"/>
          <w:szCs w:val="32"/>
          <w:lang w:val="en-US" w:eastAsia="zh-CN"/>
        </w:rPr>
        <w:t>1066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sz w:val="32"/>
          <w:szCs w:val="32"/>
          <w:lang w:val="en-US" w:eastAsia="zh-CN"/>
        </w:rPr>
        <w:t>1066</w:t>
      </w:r>
      <w:r>
        <w:rPr>
          <w:rFonts w:hint="eastAsia" w:ascii="仿宋_GB2312" w:hAnsi="仿宋" w:eastAsia="仿宋_GB2312"/>
          <w:sz w:val="32"/>
          <w:szCs w:val="32"/>
        </w:rPr>
        <w:t>万元（详见部门/单位预算公开表3）。</w:t>
      </w:r>
      <w:r>
        <w:rPr>
          <w:rStyle w:val="20"/>
          <w:rFonts w:hint="default" w:hAnsi="仿宋"/>
        </w:rPr>
        <w:t>其中：基本支出</w:t>
      </w:r>
      <w:r>
        <w:rPr>
          <w:rStyle w:val="21"/>
          <w:rFonts w:hint="eastAsia" w:ascii="仿宋_GB2312" w:hAnsi="仿宋" w:eastAsia="仿宋_GB2312"/>
          <w:lang w:val="en-US" w:eastAsia="zh-CN"/>
        </w:rPr>
        <w:t>1066</w:t>
      </w:r>
      <w:r>
        <w:rPr>
          <w:rStyle w:val="20"/>
          <w:rFonts w:hint="default" w:hAnsi="仿宋"/>
        </w:rPr>
        <w:t>万元，占</w:t>
      </w:r>
      <w:r>
        <w:rPr>
          <w:rStyle w:val="20"/>
          <w:rFonts w:hint="eastAsia" w:hAnsi="仿宋" w:eastAsia="仿宋_GB2312"/>
          <w:lang w:val="en-US" w:eastAsia="zh-CN"/>
        </w:rPr>
        <w:t>100</w:t>
      </w:r>
      <w:r>
        <w:rPr>
          <w:rStyle w:val="21"/>
          <w:rFonts w:hint="eastAsia" w:ascii="仿宋_GB2312" w:hAnsi="仿宋" w:eastAsia="仿宋_GB2312"/>
        </w:rPr>
        <w:t>%</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Style w:val="21"/>
          <w:rFonts w:hint="eastAsia" w:ascii="仿宋_GB2312" w:hAnsi="仿宋" w:eastAsia="仿宋_GB2312"/>
          <w:lang w:val="en-US" w:eastAsia="zh-CN"/>
        </w:rPr>
        <w:t>1066</w:t>
      </w:r>
      <w:r>
        <w:rPr>
          <w:rStyle w:val="20"/>
          <w:rFonts w:hint="default" w:hAnsi="仿宋"/>
        </w:rPr>
        <w:t>万元，包括：一般公共服务支出</w:t>
      </w:r>
      <w:r>
        <w:rPr>
          <w:rStyle w:val="21"/>
          <w:rFonts w:hint="eastAsia" w:ascii="仿宋_GB2312" w:hAnsi="仿宋" w:eastAsia="仿宋_GB2312"/>
          <w:lang w:val="en-US" w:eastAsia="zh-CN"/>
        </w:rPr>
        <w:t>906.52</w:t>
      </w:r>
      <w:r>
        <w:rPr>
          <w:rStyle w:val="20"/>
          <w:rFonts w:hint="default" w:hAnsi="仿宋"/>
        </w:rPr>
        <w:t>万元、社会保障和就业支出</w:t>
      </w:r>
      <w:r>
        <w:rPr>
          <w:rStyle w:val="21"/>
          <w:rFonts w:hint="eastAsia" w:ascii="仿宋_GB2312" w:hAnsi="仿宋" w:eastAsia="仿宋_GB2312"/>
          <w:lang w:val="en-US" w:eastAsia="zh-CN"/>
        </w:rPr>
        <w:t>100.86</w:t>
      </w:r>
      <w:r>
        <w:rPr>
          <w:rStyle w:val="20"/>
          <w:rFonts w:hint="default" w:hAnsi="仿宋"/>
        </w:rPr>
        <w:t>万元、</w:t>
      </w:r>
      <w:r>
        <w:rPr>
          <w:rStyle w:val="20"/>
          <w:rFonts w:hint="eastAsia" w:hAnsi="仿宋" w:eastAsia="仿宋_GB2312"/>
          <w:lang w:val="en-US" w:eastAsia="zh-CN"/>
        </w:rPr>
        <w:t>卫生健康支出5.99万元，住房保障支出52.62万元</w:t>
      </w:r>
      <w:r>
        <w:rPr>
          <w:rStyle w:val="20"/>
          <w:rFonts w:hint="default" w:hAnsi="仿宋"/>
        </w:rPr>
        <w:t>。</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2024年基本支出</w:t>
      </w:r>
      <w:r>
        <w:rPr>
          <w:rFonts w:hint="eastAsia" w:ascii="仿宋_GB2312" w:hAnsi="仿宋" w:eastAsia="仿宋_GB2312"/>
          <w:sz w:val="32"/>
          <w:szCs w:val="32"/>
          <w:lang w:val="en-US" w:eastAsia="zh-CN"/>
        </w:rPr>
        <w:t>1066</w:t>
      </w:r>
      <w:r>
        <w:rPr>
          <w:rFonts w:hint="eastAsia" w:ascii="仿宋_GB2312" w:hAnsi="仿宋" w:eastAsia="仿宋_GB2312"/>
          <w:sz w:val="32"/>
          <w:szCs w:val="32"/>
        </w:rPr>
        <w:t>万元，比2023年预算增加</w:t>
      </w:r>
      <w:r>
        <w:rPr>
          <w:rFonts w:hint="eastAsia" w:ascii="仿宋_GB2312" w:hAnsi="仿宋" w:eastAsia="仿宋_GB2312"/>
          <w:sz w:val="32"/>
          <w:szCs w:val="32"/>
          <w:lang w:val="en-US" w:eastAsia="zh-CN"/>
        </w:rPr>
        <w:t>398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37</w:t>
      </w:r>
      <w:r>
        <w:rPr>
          <w:rFonts w:hint="eastAsia" w:ascii="仿宋_GB2312" w:hAnsi="仿宋" w:eastAsia="仿宋_GB2312"/>
          <w:sz w:val="32"/>
          <w:szCs w:val="32"/>
        </w:rPr>
        <w:t>%，增长的主要原因是</w:t>
      </w:r>
      <w:r>
        <w:rPr>
          <w:rFonts w:hint="eastAsia" w:ascii="仿宋_GB2312" w:hAnsi="仿宋" w:eastAsia="仿宋_GB2312"/>
          <w:sz w:val="32"/>
          <w:szCs w:val="32"/>
          <w:lang w:val="en-US" w:eastAsia="zh-CN"/>
        </w:rPr>
        <w:t>将考核奖、年终奖金、车补基本支出费用等纳入预算。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756.19</w:t>
      </w:r>
      <w:r>
        <w:rPr>
          <w:rFonts w:hint="eastAsia" w:ascii="仿宋_GB2312" w:hAnsi="仿宋" w:eastAsia="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307.75</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2024年一般公共预算财政拨款项目支出预算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万元，比2023年预算增加（减少）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val="en-US" w:eastAsia="zh-CN"/>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ascii="仿宋_GB2312" w:eastAsia="仿宋_GB2312"/>
          <w:color w:val="000000"/>
          <w:sz w:val="32"/>
          <w:szCs w:val="32"/>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 xml:space="preserve">一般公共服务（ 类） </w:t>
      </w:r>
      <w:r>
        <w:rPr>
          <w:rFonts w:hint="eastAsia" w:ascii="仿宋_GB2312" w:eastAsia="仿宋_GB2312"/>
          <w:color w:val="000000"/>
          <w:sz w:val="32"/>
          <w:szCs w:val="32"/>
          <w:lang w:val="en-US" w:eastAsia="zh-CN"/>
        </w:rPr>
        <w:t>党委办公厅及相关机构事务</w:t>
      </w:r>
      <w:r>
        <w:rPr>
          <w:rFonts w:hint="eastAsia" w:ascii="仿宋_GB2312" w:eastAsia="仿宋_GB2312"/>
          <w:color w:val="000000"/>
          <w:sz w:val="32"/>
          <w:szCs w:val="32"/>
        </w:rPr>
        <w:t>（ 款）</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 项）</w:t>
      </w:r>
      <w:r>
        <w:rPr>
          <w:rFonts w:hint="eastAsia" w:ascii="仿宋_GB2312" w:hAnsi="TimesNewRomanPSMT" w:eastAsia="仿宋_GB2312"/>
          <w:color w:val="000000"/>
          <w:sz w:val="32"/>
          <w:szCs w:val="32"/>
        </w:rPr>
        <w:t xml:space="preserve">2024 </w:t>
      </w:r>
      <w:r>
        <w:rPr>
          <w:rFonts w:hint="eastAsia" w:ascii="仿宋_GB2312" w:eastAsia="仿宋_GB2312"/>
          <w:color w:val="000000"/>
          <w:sz w:val="32"/>
          <w:szCs w:val="32"/>
        </w:rPr>
        <w:t>年预算数为</w:t>
      </w:r>
      <w:r>
        <w:rPr>
          <w:rFonts w:hint="eastAsia" w:ascii="仿宋_GB2312" w:hAnsi="TimesNewRomanPSMT" w:eastAsia="仿宋_GB2312"/>
          <w:color w:val="000000"/>
          <w:sz w:val="32"/>
          <w:szCs w:val="32"/>
          <w:lang w:val="en-US" w:eastAsia="zh-CN"/>
        </w:rPr>
        <w:t>906.52</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年预算增加</w:t>
      </w:r>
      <w:r>
        <w:rPr>
          <w:rFonts w:hint="eastAsia" w:ascii="仿宋_GB2312" w:eastAsia="仿宋_GB2312"/>
          <w:color w:val="000000"/>
          <w:sz w:val="32"/>
          <w:szCs w:val="32"/>
          <w:lang w:val="en-US" w:eastAsia="zh-CN"/>
        </w:rPr>
        <w:t>408.12</w:t>
      </w:r>
      <w:r>
        <w:rPr>
          <w:rFonts w:hint="eastAsia" w:ascii="仿宋_GB2312" w:eastAsia="仿宋_GB2312"/>
          <w:color w:val="000000"/>
          <w:sz w:val="32"/>
          <w:szCs w:val="32"/>
        </w:rPr>
        <w:t>万元， 主要原因是</w:t>
      </w:r>
      <w:r>
        <w:rPr>
          <w:rFonts w:hint="eastAsia" w:ascii="仿宋_GB2312" w:hAnsi="仿宋" w:eastAsia="仿宋_GB2312"/>
          <w:sz w:val="32"/>
          <w:szCs w:val="32"/>
        </w:rPr>
        <w:t>是</w:t>
      </w:r>
      <w:r>
        <w:rPr>
          <w:rFonts w:hint="eastAsia" w:ascii="仿宋_GB2312" w:hAnsi="仿宋" w:eastAsia="仿宋_GB2312"/>
          <w:sz w:val="32"/>
          <w:szCs w:val="32"/>
          <w:lang w:val="en-US" w:eastAsia="zh-CN"/>
        </w:rPr>
        <w:t>将考核奖、年终奖金、车补基本支出费用等纳入预算。</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社会保障和就业支出（类）行政事业单位养老支出（款）机关事业单位基本养老保险缴费支出（项）2024年预算数为100.9万元，比2023年增长100.9万元，原因是2023年未纳入预算统计范围。</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3.卫生健康支出（类）行政事业单位医疗（款）行政单位医疗（项）2024年预算数为5.58万元，比2023年增长5.58万元，原因是2023年未纳入预算统计范围。</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4.卫生健康支出（类）行政事业单位医疗（款）事业单位医疗（项）2024年预算数为0.41万元，比2023年增长0.41万元，原因是2023年未纳入预算统计范围。</w:t>
      </w:r>
    </w:p>
    <w:p>
      <w:pPr>
        <w:widowControl/>
        <w:adjustRightInd w:val="0"/>
        <w:snapToGrid w:val="0"/>
        <w:spacing w:line="640" w:lineRule="exact"/>
        <w:ind w:firstLine="640" w:firstLineChars="200"/>
        <w:contextualSpacing/>
        <w:jc w:val="lef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5.住房保障支出（类）住房改革支出（款）住房公积金（项）2024年预算数为52.62万元，比2023年增长52.62万元，原因是2023年未纳入预算统计范围。</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val="en-US" w:eastAsia="zh-CN"/>
        </w:rPr>
        <w:t>减少10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3.公务用车购置及运行维护费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万元，公务用车运行维护费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万元），较2023年预算减少</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10</w:t>
      </w:r>
      <w:r>
        <w:rPr>
          <w:rFonts w:hint="eastAsia" w:ascii="仿宋_GB2312" w:hAnsi="仿宋" w:eastAsia="仿宋_GB2312"/>
          <w:sz w:val="32"/>
          <w:szCs w:val="32"/>
        </w:rPr>
        <w:t>%，下降的主要原因是</w:t>
      </w:r>
      <w:r>
        <w:rPr>
          <w:rFonts w:hint="eastAsia" w:ascii="仿宋_GB2312" w:hAnsi="仿宋" w:eastAsia="仿宋_GB2312"/>
          <w:sz w:val="32"/>
          <w:szCs w:val="32"/>
          <w:lang w:val="en-US" w:eastAsia="zh-CN"/>
        </w:rPr>
        <w:t>当年未列公务用车运行经费</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4.培训费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5.会议费</w:t>
      </w:r>
      <w:r>
        <w:rPr>
          <w:rFonts w:hint="eastAsia" w:ascii="仿宋_GB2312" w:hAnsi="仿宋" w:eastAsia="仿宋_GB2312"/>
          <w:sz w:val="32"/>
          <w:szCs w:val="32"/>
          <w:lang w:val="en-US" w:eastAsia="zh-CN"/>
        </w:rPr>
        <w:t>20</w:t>
      </w:r>
      <w:r>
        <w:rPr>
          <w:rFonts w:hint="eastAsia" w:ascii="仿宋_GB2312" w:hAnsi="仿宋" w:eastAsia="仿宋_GB2312"/>
          <w:sz w:val="32"/>
          <w:szCs w:val="32"/>
        </w:rPr>
        <w:t>万元，较2023年预算增加</w:t>
      </w:r>
      <w:r>
        <w:rPr>
          <w:rFonts w:hint="eastAsia" w:ascii="仿宋_GB2312" w:hAnsi="仿宋" w:eastAsia="仿宋_GB2312"/>
          <w:sz w:val="32"/>
          <w:szCs w:val="32"/>
          <w:lang w:val="en-US" w:eastAsia="zh-CN"/>
        </w:rPr>
        <w:t>20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%，增长的主要原因是</w:t>
      </w:r>
      <w:r>
        <w:rPr>
          <w:rFonts w:hint="eastAsia" w:ascii="仿宋_GB2312" w:hAnsi="仿宋" w:eastAsia="仿宋_GB2312"/>
          <w:sz w:val="32"/>
          <w:szCs w:val="32"/>
          <w:lang w:val="en-US" w:eastAsia="zh-CN"/>
        </w:rPr>
        <w:t>因积石山6.2级地震原因，县委各类灾后重建及省州领导开会频次剧烈增加</w:t>
      </w:r>
      <w:r>
        <w:rPr>
          <w:rFonts w:hint="eastAsia" w:ascii="仿宋_GB2312" w:hAnsi="仿宋" w:eastAsia="仿宋_GB2312"/>
          <w:sz w:val="32"/>
          <w:szCs w:val="32"/>
        </w:rPr>
        <w:t>。</w:t>
      </w:r>
    </w:p>
    <w:p>
      <w:pPr>
        <w:widowControl/>
        <w:spacing w:line="640" w:lineRule="exact"/>
        <w:ind w:firstLine="640" w:firstLineChars="200"/>
        <w:jc w:val="left"/>
        <w:rPr>
          <w:rFonts w:ascii="仿宋_GB2312" w:eastAsia="仿宋_GB2312"/>
          <w:sz w:val="32"/>
          <w:szCs w:val="32"/>
        </w:rPr>
      </w:pP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283</w:t>
      </w:r>
      <w:r>
        <w:rPr>
          <w:rFonts w:hint="eastAsia" w:ascii="仿宋_GB2312" w:hAnsi="仿宋" w:eastAsia="仿宋_GB2312"/>
          <w:sz w:val="32"/>
          <w:szCs w:val="32"/>
        </w:rPr>
        <w:t>万元，较2023年预算减少</w:t>
      </w:r>
      <w:r>
        <w:rPr>
          <w:rFonts w:hint="eastAsia" w:ascii="仿宋_GB2312" w:hAnsi="仿宋" w:eastAsia="仿宋_GB2312"/>
          <w:sz w:val="32"/>
          <w:szCs w:val="32"/>
          <w:lang w:val="en-US" w:eastAsia="zh-CN"/>
        </w:rPr>
        <w:t>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w:t>
      </w:r>
      <w:r>
        <w:rPr>
          <w:rFonts w:hint="eastAsia" w:ascii="仿宋_GB2312" w:hAnsi="仿宋" w:eastAsia="仿宋_GB2312"/>
          <w:sz w:val="32"/>
          <w:szCs w:val="32"/>
        </w:rPr>
        <w:t>%，下降的主要原因是</w:t>
      </w:r>
      <w:r>
        <w:rPr>
          <w:rFonts w:hint="eastAsia" w:ascii="仿宋_GB2312" w:hAnsi="仿宋" w:eastAsia="仿宋_GB2312"/>
          <w:sz w:val="32"/>
          <w:szCs w:val="32"/>
          <w:lang w:val="en-US" w:eastAsia="zh-CN"/>
        </w:rPr>
        <w:t>经费压缩</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2024年，部门（单位）政府采购预算总额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  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212.7</w:t>
      </w:r>
      <w:r>
        <w:rPr>
          <w:rFonts w:hint="eastAsia" w:ascii="仿宋_GB2312" w:hAnsi="仿宋" w:eastAsia="仿宋_GB2312"/>
          <w:sz w:val="32"/>
          <w:szCs w:val="32"/>
        </w:rPr>
        <w:t>万元。其中：办公用房</w:t>
      </w:r>
      <w:r>
        <w:rPr>
          <w:rFonts w:hint="eastAsia" w:ascii="仿宋_GB2312" w:hAnsi="仿宋" w:eastAsia="仿宋_GB2312"/>
          <w:sz w:val="32"/>
          <w:szCs w:val="32"/>
          <w:lang w:val="en-US" w:eastAsia="zh-CN"/>
        </w:rPr>
        <w:t>1050</w:t>
      </w:r>
      <w:r>
        <w:rPr>
          <w:rFonts w:hint="eastAsia" w:ascii="仿宋_GB2312" w:hAnsi="仿宋" w:eastAsia="仿宋_GB2312"/>
          <w:sz w:val="32"/>
          <w:szCs w:val="32"/>
        </w:rPr>
        <w:t>平方米，价值</w:t>
      </w:r>
      <w:r>
        <w:rPr>
          <w:rFonts w:hint="eastAsia" w:ascii="仿宋_GB2312" w:hAnsi="仿宋" w:eastAsia="仿宋_GB2312"/>
          <w:sz w:val="32"/>
          <w:szCs w:val="32"/>
          <w:lang w:val="en-US" w:eastAsia="zh-CN"/>
        </w:rPr>
        <w:t>324</w:t>
      </w:r>
      <w:r>
        <w:rPr>
          <w:rFonts w:hint="eastAsia" w:ascii="仿宋_GB2312" w:hAnsi="仿宋" w:eastAsia="仿宋_GB2312"/>
          <w:sz w:val="32"/>
          <w:szCs w:val="32"/>
        </w:rPr>
        <w:t>万元。预算部门（单位）共有公务用车</w:t>
      </w:r>
      <w:r>
        <w:rPr>
          <w:rFonts w:hint="eastAsia" w:ascii="仿宋_GB2312" w:hAnsi="仿宋" w:eastAsia="仿宋_GB2312"/>
          <w:sz w:val="32"/>
          <w:szCs w:val="32"/>
          <w:lang w:val="en-US" w:eastAsia="zh-CN"/>
        </w:rPr>
        <w:t>1</w:t>
      </w:r>
      <w:r>
        <w:rPr>
          <w:rFonts w:hint="eastAsia" w:ascii="仿宋_GB2312" w:hAnsi="仿宋" w:eastAsia="仿宋_GB2312"/>
          <w:sz w:val="32"/>
          <w:szCs w:val="32"/>
        </w:rPr>
        <w:t>辆，价值</w:t>
      </w:r>
      <w:r>
        <w:rPr>
          <w:rFonts w:hint="eastAsia" w:ascii="仿宋_GB2312" w:hAnsi="仿宋" w:eastAsia="仿宋_GB2312"/>
          <w:sz w:val="32"/>
          <w:szCs w:val="32"/>
          <w:lang w:val="en-US" w:eastAsia="zh-CN"/>
        </w:rPr>
        <w:t>20</w:t>
      </w:r>
      <w:r>
        <w:rPr>
          <w:rFonts w:hint="eastAsia" w:ascii="仿宋_GB2312" w:hAnsi="仿宋" w:eastAsia="仿宋_GB2312"/>
          <w:sz w:val="32"/>
          <w:szCs w:val="32"/>
        </w:rPr>
        <w:t xml:space="preserve"> 万元。单价20万元以上的设备价值</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万元。2024年拟采购固定资产约     </w:t>
      </w:r>
      <w:r>
        <w:rPr>
          <w:rFonts w:hint="eastAsia" w:ascii="仿宋_GB2312" w:hAnsi="仿宋" w:eastAsia="仿宋_GB2312"/>
          <w:sz w:val="32"/>
          <w:szCs w:val="32"/>
          <w:lang w:val="en-US" w:eastAsia="zh-CN"/>
        </w:rPr>
        <w:t>20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本部门/单位2024年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本部门/单位年初预算未安排项目支出，无重点项目说明。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部门/单位</w:t>
      </w:r>
      <w:r>
        <w:rPr>
          <w:rFonts w:hint="eastAsia" w:ascii="仿宋_GB2312" w:hAnsi="仿宋" w:eastAsia="仿宋_GB2312"/>
          <w:sz w:val="32"/>
          <w:szCs w:val="32"/>
        </w:rPr>
        <w:t>整体支出和项目绩效目标   个，按规定随年度预算一并公开项目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个，公开率为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w:t>
      </w:r>
      <w:r>
        <w:rPr>
          <w:rFonts w:hint="eastAsia" w:ascii="仿宋_GB2312" w:hAnsi="CIDFont+F6" w:eastAsia="仿宋_GB2312"/>
          <w:color w:val="000000"/>
          <w:sz w:val="32"/>
          <w:szCs w:val="32"/>
        </w:rPr>
        <w:t>部门/单位</w:t>
      </w:r>
      <w:r>
        <w:rPr>
          <w:rFonts w:hint="eastAsia" w:ascii="仿宋_GB2312" w:hAnsi="仿宋" w:eastAsia="仿宋_GB2312"/>
          <w:sz w:val="32"/>
          <w:szCs w:val="32"/>
        </w:rPr>
        <w:t>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%。截至7月底，如期完成预算执行和绩效目标指标值的项目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%。“双监控”发现存在的问题和主要原因是：</w:t>
      </w:r>
      <w:r>
        <w:rPr>
          <w:rFonts w:hint="eastAsia" w:ascii="仿宋_GB2312" w:hAnsi="仿宋" w:eastAsia="仿宋_GB2312"/>
          <w:sz w:val="32"/>
          <w:szCs w:val="32"/>
          <w:lang w:val="en-US" w:eastAsia="zh-CN"/>
        </w:rPr>
        <w:t>公用经费绩效评价不够全面</w:t>
      </w:r>
      <w:r>
        <w:rPr>
          <w:rFonts w:hint="eastAsia" w:ascii="仿宋_GB2312" w:hAnsi="仿宋" w:eastAsia="仿宋_GB2312"/>
          <w:sz w:val="32"/>
          <w:szCs w:val="32"/>
        </w:rPr>
        <w:t>。开展1-9月绩效运行监控项目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个，占本部门（单位）项目的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%。截至10月底，如期完成预算执行和绩效目标指标值的项目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%。“双监控”发现存在的问题和主要原因是：</w:t>
      </w:r>
      <w:r>
        <w:rPr>
          <w:rFonts w:hint="eastAsia" w:ascii="仿宋_GB2312" w:hAnsi="仿宋" w:eastAsia="仿宋_GB2312"/>
          <w:sz w:val="32"/>
          <w:szCs w:val="32"/>
          <w:lang w:val="en-US" w:eastAsia="zh-CN"/>
        </w:rPr>
        <w:t>基本支出绩效评价不够全面</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2023年度，组织开展绩效自评项目共</w:t>
      </w:r>
      <w:r>
        <w:rPr>
          <w:rFonts w:hint="eastAsia" w:ascii="仿宋_GB2312" w:hAnsi="仿宋" w:eastAsia="仿宋_GB2312"/>
          <w:sz w:val="32"/>
          <w:szCs w:val="32"/>
          <w:lang w:val="en-US" w:eastAsia="zh-CN"/>
        </w:rPr>
        <w:t>11</w:t>
      </w:r>
      <w:r>
        <w:rPr>
          <w:rFonts w:hint="eastAsia" w:ascii="仿宋_GB2312" w:hAnsi="仿宋" w:eastAsia="仿宋_GB2312"/>
          <w:sz w:val="32"/>
          <w:szCs w:val="32"/>
        </w:rPr>
        <w:t>个，其中，部门（单位）整体支出</w:t>
      </w:r>
      <w:r>
        <w:rPr>
          <w:rFonts w:hint="eastAsia" w:ascii="仿宋_GB2312" w:hAnsi="仿宋" w:eastAsia="仿宋_GB2312"/>
          <w:sz w:val="32"/>
          <w:szCs w:val="32"/>
          <w:lang w:val="en-US" w:eastAsia="zh-CN"/>
        </w:rPr>
        <w:t>11</w:t>
      </w:r>
      <w:r>
        <w:rPr>
          <w:rFonts w:hint="eastAsia" w:ascii="仿宋_GB2312" w:hAnsi="仿宋" w:eastAsia="仿宋_GB2312"/>
          <w:sz w:val="32"/>
          <w:szCs w:val="32"/>
        </w:rPr>
        <w:t xml:space="preserve"> 个，项目支出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0</w:t>
      </w:r>
      <w:r>
        <w:rPr>
          <w:rFonts w:hint="eastAsia" w:ascii="仿宋_GB2312" w:hAnsi="仿宋" w:eastAsia="仿宋_GB2312"/>
          <w:sz w:val="32"/>
          <w:szCs w:val="32"/>
        </w:rPr>
        <w:t>%。绩效自评结果随部门决算报送财政和随决算公开情况：</w:t>
      </w:r>
      <w:r>
        <w:rPr>
          <w:rFonts w:hint="eastAsia" w:ascii="仿宋_GB2312" w:hAnsi="仿宋" w:eastAsia="仿宋_GB2312"/>
          <w:sz w:val="32"/>
          <w:szCs w:val="32"/>
          <w:lang w:val="en-US" w:eastAsia="zh-CN"/>
        </w:rPr>
        <w:t>已完成</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万元，2024年度增加（减少）部门预算项目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个，增长率/压减率</w:t>
      </w:r>
      <w:r>
        <w:rPr>
          <w:rFonts w:hint="eastAsia" w:ascii="仿宋_GB2312" w:hAnsi="仿宋" w:eastAsia="仿宋_GB2312"/>
          <w:sz w:val="32"/>
          <w:szCs w:val="32"/>
          <w:lang w:val="en-US" w:eastAsia="zh-CN"/>
        </w:rPr>
        <w:t>10</w:t>
      </w:r>
      <w:r>
        <w:rPr>
          <w:rFonts w:hint="eastAsia" w:ascii="仿宋_GB2312" w:hAnsi="仿宋" w:eastAsia="仿宋_GB2312"/>
          <w:sz w:val="32"/>
          <w:szCs w:val="32"/>
        </w:rPr>
        <w:t xml:space="preserve"> %。同时对政策和项目资金管理作出调整的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2024年，纳入部门/单位预算绩效目标管理的项目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3</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bookmarkStart w:id="0" w:name="_GoBack"/>
      <w:bookmarkEnd w:id="0"/>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1120"/>
        <w:contextualSpacing/>
        <w:jc w:val="right"/>
        <w:rPr>
          <w:rFonts w:hint="eastAsia" w:ascii="仿宋_GB2312" w:hAnsi="CIDFont+F6" w:eastAsia="仿宋_GB2312"/>
          <w:color w:val="000000"/>
          <w:sz w:val="32"/>
          <w:szCs w:val="32"/>
          <w:lang w:val="en-US" w:eastAsia="zh-CN"/>
        </w:rPr>
      </w:pPr>
      <w:r>
        <w:rPr>
          <w:rFonts w:hint="eastAsia" w:ascii="仿宋_GB2312" w:hAnsi="CIDFont+F6" w:eastAsia="仿宋_GB2312"/>
          <w:color w:val="000000"/>
          <w:sz w:val="32"/>
          <w:szCs w:val="32"/>
          <w:lang w:val="en-US" w:eastAsia="zh-CN"/>
        </w:rPr>
        <w:t>中共积石山县委办公室</w:t>
      </w:r>
    </w:p>
    <w:p>
      <w:pPr>
        <w:wordWrap w:val="0"/>
        <w:adjustRightInd w:val="0"/>
        <w:snapToGrid w:val="0"/>
        <w:spacing w:line="640" w:lineRule="exact"/>
        <w:ind w:right="1120"/>
        <w:contextualSpacing/>
        <w:jc w:val="right"/>
        <w:rPr>
          <w:rFonts w:hint="default" w:ascii="仿宋_GB2312" w:eastAsia="仿宋_GB2312"/>
          <w:sz w:val="32"/>
          <w:szCs w:val="32"/>
          <w:lang w:val="en-US" w:eastAsia="zh-CN"/>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年</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月</w:t>
      </w:r>
      <w:r>
        <w:rPr>
          <w:rFonts w:hint="eastAsia" w:ascii="仿宋_GB2312" w:hAnsi="CIDFont+F6" w:eastAsia="仿宋_GB2312"/>
          <w:color w:val="000000"/>
          <w:sz w:val="32"/>
          <w:szCs w:val="32"/>
          <w:lang w:val="en-US" w:eastAsia="zh-CN"/>
        </w:rPr>
        <w:t>7</w:t>
      </w:r>
      <w:r>
        <w:rPr>
          <w:rFonts w:hint="eastAsia" w:ascii="仿宋_GB2312" w:hAnsi="CIDFont+F6" w:eastAsia="仿宋_GB2312"/>
          <w:color w:val="000000"/>
          <w:sz w:val="32"/>
          <w:szCs w:val="32"/>
        </w:rPr>
        <w:t>日</w:t>
      </w:r>
      <w:r>
        <w:rPr>
          <w:rFonts w:hint="eastAsia" w:ascii="仿宋_GB2312" w:hAnsi="CIDFont+F6" w:eastAsia="仿宋_GB2312"/>
          <w:color w:val="000000"/>
          <w:sz w:val="32"/>
          <w:szCs w:val="32"/>
          <w:lang w:val="en-US" w:eastAsia="zh-CN"/>
        </w:rPr>
        <w:t xml:space="preserve">  </w:t>
      </w:r>
    </w:p>
    <w:p>
      <w:pPr>
        <w:adjustRightInd w:val="0"/>
        <w:snapToGrid w:val="0"/>
        <w:spacing w:line="640" w:lineRule="exact"/>
        <w:ind w:right="1120"/>
        <w:contextualSpacing/>
        <w:jc w:val="both"/>
        <w:rPr>
          <w:rFonts w:hint="eastAsia" w:ascii="仿宋_GB2312" w:hAnsi="宋体" w:eastAsia="仿宋_GB2312" w:cs="宋体"/>
          <w:kern w:val="0"/>
          <w:sz w:val="32"/>
          <w:szCs w:val="32"/>
        </w:rPr>
      </w:pPr>
    </w:p>
    <w:p>
      <w:pPr>
        <w:adjustRightInd w:val="0"/>
        <w:snapToGrid w:val="0"/>
        <w:spacing w:line="640" w:lineRule="exact"/>
        <w:ind w:right="1120"/>
        <w:contextualSpacing/>
        <w:jc w:val="both"/>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CIDFont+F6" w:eastAsia="仿宋_GB2312"/>
          <w:color w:val="000000"/>
          <w:sz w:val="32"/>
          <w:szCs w:val="32"/>
          <w:lang w:val="en-US" w:eastAsia="zh-CN"/>
        </w:rPr>
        <w:t>中共积石山县委办公室</w:t>
      </w:r>
      <w:r>
        <w:rPr>
          <w:rFonts w:hint="eastAsia" w:ascii="仿宋_GB2312" w:hAnsi="宋体" w:eastAsia="仿宋_GB2312" w:cs="宋体"/>
          <w:spacing w:val="-20"/>
          <w:kern w:val="0"/>
          <w:sz w:val="32"/>
          <w:szCs w:val="32"/>
        </w:rPr>
        <w:t>2024年</w:t>
      </w:r>
      <w:r>
        <w:rPr>
          <w:rFonts w:hint="eastAsia" w:ascii="仿宋_GB2312" w:hAnsi="CIDFont+F6" w:eastAsia="仿宋_GB2312"/>
          <w:color w:val="000000"/>
          <w:sz w:val="32"/>
          <w:szCs w:val="32"/>
        </w:rPr>
        <w:t>部门/单位</w:t>
      </w:r>
      <w:r>
        <w:rPr>
          <w:rFonts w:hint="eastAsia" w:ascii="仿宋_GB2312" w:hAnsi="宋体" w:eastAsia="仿宋_GB2312" w:cs="宋体"/>
          <w:spacing w:val="-20"/>
          <w:kern w:val="0"/>
          <w:sz w:val="32"/>
          <w:szCs w:val="32"/>
        </w:rPr>
        <w:t>预算公开表</w:t>
      </w:r>
    </w:p>
    <w:p>
      <w:pPr>
        <w:adjustRightInd w:val="0"/>
        <w:snapToGrid w:val="0"/>
        <w:spacing w:line="640" w:lineRule="exact"/>
        <w:ind w:left="1598" w:leftChars="456" w:right="1120" w:hanging="640" w:hangingChars="200"/>
        <w:contextualSpacing/>
        <w:jc w:val="both"/>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CIDFont+F6" w:eastAsia="仿宋_GB2312"/>
          <w:color w:val="000000"/>
          <w:sz w:val="32"/>
          <w:szCs w:val="32"/>
          <w:lang w:val="en-US" w:eastAsia="zh-CN"/>
        </w:rPr>
        <w:t>中共积石山县委办公室</w:t>
      </w:r>
      <w:r>
        <w:rPr>
          <w:rFonts w:hint="eastAsia" w:ascii="仿宋_GB2312" w:hAnsi="宋体" w:eastAsia="仿宋_GB2312" w:cs="宋体"/>
          <w:kern w:val="0"/>
          <w:sz w:val="32"/>
          <w:szCs w:val="32"/>
        </w:rPr>
        <w:t>2024年</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8"/>
        <w:tblpPr w:leftFromText="180" w:rightFromText="180" w:vertAnchor="text" w:horzAnchor="page" w:tblpX="1285" w:tblpY="342"/>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ascii="宋体" w:hAnsi="宋体" w:cs="Arial"/>
                <w:b/>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ascii="宋体" w:hAnsi="宋体" w:cs="Arial"/>
                <w:b/>
                <w:color w:val="000000"/>
                <w:kern w:val="0"/>
                <w:sz w:val="18"/>
                <w:szCs w:val="18"/>
              </w:rPr>
            </w:pP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widowControl/>
              <w:jc w:val="right"/>
              <w:rPr>
                <w:rFonts w:ascii="宋体" w:hAnsi="宋体" w:cs="Arial"/>
                <w:b/>
                <w:color w:val="000000"/>
                <w:kern w:val="0"/>
                <w:sz w:val="18"/>
                <w:szCs w:val="18"/>
              </w:rPr>
            </w:pP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712" w:type="dxa"/>
        <w:jc w:val="center"/>
        <w:tblLayout w:type="autofit"/>
        <w:tblCellMar>
          <w:top w:w="0" w:type="dxa"/>
          <w:left w:w="108" w:type="dxa"/>
          <w:bottom w:w="0" w:type="dxa"/>
          <w:right w:w="108" w:type="dxa"/>
        </w:tblCellMar>
      </w:tblPr>
      <w:tblGrid>
        <w:gridCol w:w="3588"/>
        <w:gridCol w:w="1531"/>
        <w:gridCol w:w="1531"/>
        <w:gridCol w:w="1531"/>
        <w:gridCol w:w="1531"/>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Arial"/>
                <w:b/>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ascii="宋体" w:hAnsi="宋体" w:cs="Arial"/>
                <w:b/>
                <w:color w:val="000000"/>
                <w:kern w:val="0"/>
                <w:sz w:val="18"/>
                <w:szCs w:val="18"/>
              </w:rPr>
            </w:pP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tcPr>
          <w:p>
            <w:pPr>
              <w:rPr>
                <w:rFonts w:ascii="宋体" w:hAnsi="宋体"/>
                <w:sz w:val="18"/>
                <w:szCs w:val="18"/>
              </w:rPr>
            </w:pPr>
            <w:r>
              <w:rPr>
                <w:rFonts w:ascii="宋体" w:hAnsi="宋体"/>
                <w:b/>
                <w:sz w:val="18"/>
                <w:szCs w:val="18"/>
              </w:rPr>
              <w:t>总计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rPr>
              <w:t>……</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591" w:type="dxa"/>
        <w:jc w:val="center"/>
        <w:tblLayout w:type="autofit"/>
        <w:tblCellMar>
          <w:top w:w="0" w:type="dxa"/>
          <w:left w:w="108" w:type="dxa"/>
          <w:bottom w:w="0" w:type="dxa"/>
          <w:right w:w="108" w:type="dxa"/>
        </w:tblCellMar>
      </w:tblPr>
      <w:tblGrid>
        <w:gridCol w:w="1074"/>
        <w:gridCol w:w="4253"/>
        <w:gridCol w:w="1417"/>
        <w:gridCol w:w="1418"/>
        <w:gridCol w:w="1429"/>
      </w:tblGrid>
      <w:tr>
        <w:tblPrEx>
          <w:tblCellMar>
            <w:top w:w="0" w:type="dxa"/>
            <w:left w:w="108" w:type="dxa"/>
            <w:bottom w:w="0" w:type="dxa"/>
            <w:right w:w="108" w:type="dxa"/>
          </w:tblCellMar>
        </w:tblPrEx>
        <w:trPr>
          <w:trHeight w:val="20" w:hRule="atLeast"/>
          <w:tblHeader/>
          <w:jc w:val="center"/>
        </w:trPr>
        <w:tc>
          <w:tcPr>
            <w:tcW w:w="5327"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 xml:space="preserve"> </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总计</w:t>
            </w: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405" w:type="dxa"/>
        <w:jc w:val="center"/>
        <w:tblLayout w:type="autofit"/>
        <w:tblCellMar>
          <w:top w:w="0" w:type="dxa"/>
          <w:left w:w="108" w:type="dxa"/>
          <w:bottom w:w="0" w:type="dxa"/>
          <w:right w:w="108" w:type="dxa"/>
        </w:tblCellMar>
      </w:tblPr>
      <w:tblGrid>
        <w:gridCol w:w="948"/>
        <w:gridCol w:w="4252"/>
        <w:gridCol w:w="1559"/>
        <w:gridCol w:w="1418"/>
        <w:gridCol w:w="1228"/>
      </w:tblGrid>
      <w:tr>
        <w:tblPrEx>
          <w:tblCellMar>
            <w:top w:w="0" w:type="dxa"/>
            <w:left w:w="108" w:type="dxa"/>
            <w:bottom w:w="0" w:type="dxa"/>
            <w:right w:w="108" w:type="dxa"/>
          </w:tblCellMar>
        </w:tblPrEx>
        <w:trPr>
          <w:trHeight w:val="20" w:hRule="atLeast"/>
          <w:tblHeader/>
          <w:jc w:val="center"/>
        </w:trPr>
        <w:tc>
          <w:tcPr>
            <w:tcW w:w="520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05"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 xml:space="preserve"> </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53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3276"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3" w:type="pct"/>
            <w:gridSpan w:val="6"/>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7" w:type="pct"/>
            <w:gridSpan w:val="3"/>
            <w:vAlign w:val="center"/>
          </w:tcPr>
          <w:p>
            <w:pPr>
              <w:widowControl/>
              <w:spacing w:line="360" w:lineRule="exact"/>
              <w:jc w:val="center"/>
              <w:rPr>
                <w:rFonts w:cs="宋体" w:asciiTheme="minorEastAsia" w:hAnsiTheme="minorEastAsia" w:eastAsiaTheme="minorEastAsia"/>
                <w:kern w:val="0"/>
                <w:sz w:val="18"/>
                <w:szCs w:val="18"/>
              </w:rPr>
            </w:pPr>
          </w:p>
        </w:tc>
        <w:tc>
          <w:tcPr>
            <w:tcW w:w="1089"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7" w:type="pct"/>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7"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7"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6"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5" w:type="pct"/>
            <w:gridSpan w:val="7"/>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9"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1334" w:type="pct"/>
            <w:vAlign w:val="center"/>
          </w:tcPr>
          <w:p>
            <w:pPr>
              <w:widowControl/>
              <w:spacing w:line="360" w:lineRule="exact"/>
              <w:jc w:val="center"/>
              <w:rPr>
                <w:rFonts w:cs="宋体" w:asciiTheme="minorEastAsia" w:hAnsiTheme="minorEastAsia" w:eastAsiaTheme="minorEastAsia"/>
                <w:bCs/>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b/>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4" w:type="pct"/>
            <w:vAlign w:val="center"/>
          </w:tcPr>
          <w:p>
            <w:pPr>
              <w:widowControl/>
              <w:spacing w:line="360" w:lineRule="exact"/>
              <w:jc w:val="center"/>
              <w:rPr>
                <w:rFonts w:cs="宋体" w:asciiTheme="minorEastAsia" w:hAnsiTheme="minorEastAsia" w:eastAsiaTheme="minorEastAsia"/>
                <w:kern w:val="0"/>
                <w:sz w:val="18"/>
                <w:szCs w:val="18"/>
              </w:rPr>
            </w:pPr>
          </w:p>
        </w:tc>
        <w:tc>
          <w:tcPr>
            <w:tcW w:w="979"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578"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MWI2OTAyNGFjNDY2NTQ3YmNiMmY0YTA5YmFiMGY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6155CFB"/>
    <w:rsid w:val="09616F12"/>
    <w:rsid w:val="0A56459C"/>
    <w:rsid w:val="0EE83C31"/>
    <w:rsid w:val="10F863AD"/>
    <w:rsid w:val="113741D2"/>
    <w:rsid w:val="13070B2A"/>
    <w:rsid w:val="1D34261E"/>
    <w:rsid w:val="1F4629DA"/>
    <w:rsid w:val="257A518B"/>
    <w:rsid w:val="25D53E1D"/>
    <w:rsid w:val="27CE17BE"/>
    <w:rsid w:val="29775F79"/>
    <w:rsid w:val="29E928DF"/>
    <w:rsid w:val="2EEE2746"/>
    <w:rsid w:val="31077AEF"/>
    <w:rsid w:val="31CF549D"/>
    <w:rsid w:val="382B0567"/>
    <w:rsid w:val="38DB3D3B"/>
    <w:rsid w:val="3C7F70D3"/>
    <w:rsid w:val="4DB82445"/>
    <w:rsid w:val="4F31425D"/>
    <w:rsid w:val="527E074E"/>
    <w:rsid w:val="579503FF"/>
    <w:rsid w:val="5ECC5D50"/>
    <w:rsid w:val="60535296"/>
    <w:rsid w:val="607F732C"/>
    <w:rsid w:val="636522D0"/>
    <w:rsid w:val="666B5E4F"/>
    <w:rsid w:val="6B657311"/>
    <w:rsid w:val="6C147994"/>
    <w:rsid w:val="72FD2525"/>
    <w:rsid w:val="7394437D"/>
    <w:rsid w:val="75575F1C"/>
    <w:rsid w:val="7A8F7F06"/>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link w:val="15"/>
    <w:qFormat/>
    <w:uiPriority w:val="0"/>
    <w:rPr>
      <w:sz w:val="18"/>
      <w:szCs w:val="18"/>
    </w:rPr>
  </w:style>
  <w:style w:type="paragraph" w:styleId="5">
    <w:name w:val="footer"/>
    <w:basedOn w:val="1"/>
    <w:link w:val="12"/>
    <w:autoRedefine/>
    <w:uiPriority w:val="0"/>
    <w:pPr>
      <w:tabs>
        <w:tab w:val="center" w:pos="4153"/>
        <w:tab w:val="right" w:pos="8306"/>
      </w:tabs>
      <w:snapToGrid w:val="0"/>
      <w:jc w:val="left"/>
    </w:pPr>
    <w:rPr>
      <w:sz w:val="18"/>
      <w:szCs w:val="18"/>
    </w:rPr>
  </w:style>
  <w:style w:type="paragraph" w:styleId="6">
    <w:name w:val="header"/>
    <w:basedOn w:val="1"/>
    <w:link w:val="13"/>
    <w:autoRedefine/>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uiPriority w:val="0"/>
  </w:style>
  <w:style w:type="character" w:styleId="11">
    <w:name w:val="annotation reference"/>
    <w:qFormat/>
    <w:uiPriority w:val="0"/>
    <w:rPr>
      <w:sz w:val="21"/>
      <w:szCs w:val="21"/>
    </w:rPr>
  </w:style>
  <w:style w:type="character" w:customStyle="1" w:styleId="12">
    <w:name w:val="页脚 Char"/>
    <w:link w:val="5"/>
    <w:autoRedefine/>
    <w:uiPriority w:val="0"/>
    <w:rPr>
      <w:sz w:val="18"/>
      <w:szCs w:val="18"/>
    </w:rPr>
  </w:style>
  <w:style w:type="character" w:customStyle="1" w:styleId="13">
    <w:name w:val="页眉 Char"/>
    <w:link w:val="6"/>
    <w:autoRedefine/>
    <w:uiPriority w:val="0"/>
    <w:rPr>
      <w:sz w:val="18"/>
      <w:szCs w:val="18"/>
    </w:rPr>
  </w:style>
  <w:style w:type="paragraph" w:styleId="14">
    <w:name w:val="List Paragraph"/>
    <w:basedOn w:val="1"/>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qFormat/>
    <w:uiPriority w:val="0"/>
    <w:rPr>
      <w:rFonts w:ascii="Times New Roman" w:hAnsi="Times New Roman"/>
      <w:b/>
      <w:bCs/>
      <w:kern w:val="44"/>
      <w:sz w:val="44"/>
      <w:szCs w:val="44"/>
    </w:rPr>
  </w:style>
  <w:style w:type="paragraph" w:customStyle="1" w:styleId="17">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qFormat/>
    <w:uiPriority w:val="0"/>
    <w:rPr>
      <w:rFonts w:hint="default" w:ascii="TimesNewRomanPSMT" w:hAnsi="TimesNewRomanPSMT"/>
      <w:color w:val="000000"/>
      <w:sz w:val="32"/>
      <w:szCs w:val="32"/>
    </w:rPr>
  </w:style>
  <w:style w:type="character" w:customStyle="1" w:styleId="22">
    <w:name w:val="fontstyle11"/>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9</TotalTime>
  <ScaleCrop>false</ScaleCrop>
  <LinksUpToDate>false</LinksUpToDate>
  <CharactersWithSpaces>9630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哈三</cp:lastModifiedBy>
  <cp:lastPrinted>2024-02-18T02:23:00Z</cp:lastPrinted>
  <dcterms:modified xsi:type="dcterms:W3CDTF">2024-03-07T03:36:29Z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4746AA2B63644A919A7677ADD6665D0C</vt:lpwstr>
  </property>
</Properties>
</file>