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hint="eastAsia" w:ascii="仿宋" w:hAnsi="仿宋" w:eastAsia="仿宋" w:cs="仿宋"/>
          <w:b/>
          <w:sz w:val="44"/>
          <w:szCs w:val="44"/>
        </w:rPr>
      </w:pPr>
      <w:r>
        <w:rPr>
          <w:rFonts w:hint="eastAsia" w:ascii="仿宋" w:hAnsi="仿宋" w:eastAsia="仿宋" w:cs="仿宋"/>
          <w:b/>
          <w:sz w:val="44"/>
          <w:szCs w:val="44"/>
        </w:rPr>
        <w:t>中共积石山县委机构编制委员会办公室</w:t>
      </w:r>
    </w:p>
    <w:p>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rPr>
        <w:t xml:space="preserve">2024年部门预算公开情况说明 </w:t>
      </w:r>
    </w:p>
    <w:p>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pPr>
        <w:spacing w:line="660" w:lineRule="exact"/>
        <w:jc w:val="center"/>
        <w:rPr>
          <w:rFonts w:ascii="宋体" w:hAnsi="宋体" w:cs="宋体"/>
          <w:b/>
          <w:bCs/>
          <w:kern w:val="0"/>
          <w:sz w:val="44"/>
          <w:szCs w:val="44"/>
        </w:rPr>
      </w:pPr>
    </w:p>
    <w:p>
      <w:pPr>
        <w:spacing w:line="30" w:lineRule="exact"/>
        <w:jc w:val="center"/>
        <w:rPr>
          <w:rFonts w:ascii="黑体" w:eastAsia="黑体"/>
          <w:color w:val="000000"/>
          <w:sz w:val="18"/>
          <w:szCs w:val="18"/>
        </w:rPr>
      </w:pP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第一部分 部门基本概况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一、部门职责</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二、机构设置情况</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第二部分 2024年部门预算情况说明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一、收支总体情况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二、一般公共预算情况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三、一般公共预算财政拨款“三公”经费、培训费、会议费等情况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四、一般公共预算财政拨款机关运行经费情况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五、政府采购安排情况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六、国有资产占用情况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七、其他重要事项情况说明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八、预算绩效管理情况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九、名词解释</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第三部分 2024年部门预算公开表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二、部门收入总体情况表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三、部门支出总体情况表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四、财政拨款收支总体情况表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五、财政拨款支出表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六、一般公共预算支出情况表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七、一般公共预算基本支出情况表</w:t>
      </w:r>
    </w:p>
    <w:p>
      <w:pPr>
        <w:spacing w:line="560" w:lineRule="exact"/>
        <w:ind w:firstLine="600" w:firstLineChars="200"/>
        <w:jc w:val="left"/>
        <w:rPr>
          <w:rFonts w:ascii="仿宋_GB2312" w:hAnsi="仿宋" w:eastAsia="仿宋_GB2312"/>
          <w:color w:val="000000"/>
          <w:spacing w:val="-20"/>
          <w:sz w:val="30"/>
          <w:szCs w:val="30"/>
        </w:rPr>
      </w:pPr>
      <w:r>
        <w:rPr>
          <w:rFonts w:hint="eastAsia" w:ascii="仿宋_GB2312" w:hAnsi="仿宋" w:eastAsia="仿宋_GB2312"/>
          <w:color w:val="000000"/>
          <w:sz w:val="30"/>
          <w:szCs w:val="30"/>
        </w:rPr>
        <w:t>八、</w:t>
      </w:r>
      <w:r>
        <w:rPr>
          <w:rFonts w:hint="eastAsia" w:ascii="仿宋_GB2312" w:hAnsi="仿宋" w:eastAsia="仿宋_GB2312"/>
          <w:color w:val="000000"/>
          <w:spacing w:val="-20"/>
          <w:sz w:val="30"/>
          <w:szCs w:val="30"/>
        </w:rPr>
        <w:t>一般公共预算财政拨款“三公”经费、会议费、培训费支出情况表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九、一般公共预算财政拨款机关运行经费表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十、政府性基金预算支出情况表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w:t>
      </w:r>
      <w:r>
        <w:rPr>
          <w:rFonts w:hint="eastAsia" w:ascii="仿宋_GB2312" w:hAnsi="仿宋" w:eastAsia="仿宋_GB2312"/>
          <w:color w:val="000000"/>
          <w:sz w:val="30"/>
          <w:szCs w:val="30"/>
          <w:lang w:val="en-US" w:eastAsia="zh-CN"/>
        </w:rPr>
        <w:t>一</w:t>
      </w:r>
      <w:r>
        <w:rPr>
          <w:rFonts w:hint="eastAsia" w:ascii="仿宋_GB2312" w:hAnsi="仿宋" w:eastAsia="仿宋_GB2312"/>
          <w:color w:val="000000"/>
          <w:sz w:val="30"/>
          <w:szCs w:val="30"/>
        </w:rPr>
        <w:t>、国有资本经营预算支出情况表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w:t>
      </w:r>
      <w:r>
        <w:rPr>
          <w:rFonts w:hint="eastAsia" w:ascii="仿宋_GB2312" w:hAnsi="仿宋" w:eastAsia="仿宋_GB2312"/>
          <w:color w:val="000000"/>
          <w:sz w:val="30"/>
          <w:szCs w:val="30"/>
          <w:lang w:val="en-US" w:eastAsia="zh-CN"/>
        </w:rPr>
        <w:t>二</w:t>
      </w:r>
      <w:r>
        <w:rPr>
          <w:rFonts w:hint="eastAsia" w:ascii="仿宋_GB2312" w:hAnsi="仿宋" w:eastAsia="仿宋_GB2312"/>
          <w:color w:val="000000"/>
          <w:sz w:val="30"/>
          <w:szCs w:val="30"/>
        </w:rPr>
        <w:t>、部门整体支出绩效目标表和项目支出绩效目标表</w:t>
      </w:r>
    </w:p>
    <w:p>
      <w:pPr>
        <w:spacing w:line="660" w:lineRule="exact"/>
        <w:jc w:val="center"/>
        <w:rPr>
          <w:rFonts w:ascii="仿宋_GB2312" w:hAnsi="宋体" w:eastAsia="仿宋_GB2312" w:cs="宋体"/>
          <w:b/>
          <w:bCs/>
          <w:kern w:val="0"/>
          <w:sz w:val="44"/>
          <w:szCs w:val="44"/>
        </w:rPr>
      </w:pPr>
    </w:p>
    <w:p>
      <w:pPr>
        <w:spacing w:line="600" w:lineRule="exact"/>
        <w:ind w:firstLine="562" w:firstLineChars="200"/>
        <w:rPr>
          <w:rFonts w:ascii="仿宋_GB2312" w:hAnsi="仿宋"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spacing w:line="600" w:lineRule="exact"/>
        <w:ind w:firstLine="643" w:firstLineChars="200"/>
        <w:jc w:val="center"/>
        <w:rPr>
          <w:rFonts w:ascii="仿宋_GB2312" w:hAnsi="黑体" w:eastAsia="仿宋_GB2312" w:cs="宋体"/>
          <w:b/>
          <w:kern w:val="0"/>
          <w:sz w:val="32"/>
          <w:szCs w:val="32"/>
        </w:rPr>
      </w:pPr>
      <w:r>
        <w:rPr>
          <w:rFonts w:hint="eastAsia" w:ascii="仿宋_GB2312" w:hAnsi="黑体" w:eastAsia="仿宋_GB2312" w:cs="宋体"/>
          <w:b/>
          <w:kern w:val="0"/>
          <w:sz w:val="32"/>
          <w:szCs w:val="32"/>
        </w:rPr>
        <w:t>前言</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按照《中华人民共和国预算法》《中华人民共和国预算法实施条例》以及</w:t>
      </w:r>
      <w:r>
        <w:rPr>
          <w:rFonts w:ascii="仿宋_GB2312" w:hAnsi="仿宋" w:eastAsia="仿宋_GB2312" w:cs="宋体"/>
          <w:kern w:val="0"/>
          <w:sz w:val="32"/>
          <w:szCs w:val="32"/>
        </w:rPr>
        <w:t>财政部</w:t>
      </w:r>
      <w:r>
        <w:rPr>
          <w:rFonts w:hint="eastAsia" w:ascii="仿宋_GB2312" w:hAnsi="仿宋" w:eastAsia="仿宋_GB2312" w:cs="宋体"/>
          <w:kern w:val="0"/>
          <w:sz w:val="32"/>
          <w:szCs w:val="32"/>
        </w:rPr>
        <w:t>《地方预决算公开操作规程》《关于推进部门所属单位预算公开的指导意见》和《中共甘肃省委办公厅 甘肃省人民政府办公厅关于进一步推进预算公开工作的实施方案》要求，现将2024年部门预算公开如下：</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一、部门职责</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一)贯彻执行党和国家关于行政管理体制改革、机构改革和机构编制管理的方针政策和法规，负责拟订全县机构编制管理办法和实施细则，统一管理全县各级党政机关、人大、政协、法院、检察院机关、各民主党派、人民团体机关的机构编制工作。</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二)拟定全县各级党政机关行政管理体制改革和机构改革的总体方案，审核县直各部门和乡镇的机构改革方案，审核党政机关及事业单位的职能配置，指导协调全县行政管理体制改革和机构改革以及机构编制管理工作。</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(三)审核调整县直机关各部门内设机构、人员编制，审核调整全县机关各部门内设机构领导职数和人员结构比例;审核调整全县机构设置和人员编制总额。</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(四)审核调整全县事业单位内设机构、人员编制; 审核调整全县事业单位内设机构领导职数和人员结构比例。</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(五)监督检查全县各级党政机关行政管理体制、机构改革以及机构编制的执行情况，加大对机构编制违规、违纪的督查力度。</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(六)负责拟订全县事业单位登记管理工作的有关规章、政策;</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(七)负责全县党政机关社会统一信用代码赋码证的办理、年检、变更等管理工作。</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(八)负责全县辖区内事业单位法人证的登记、变更、年检等管理工作。</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(九)全面负责开展政策法规赋予的机构编制管理，事业单位登记管理的方针政策。</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(十)完成县委、县政府和县委机构编制委员会交办的其他任务。</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十一)职能转变。机构编制工作从单纯的审批机构、编制管理转变为抓行政管理体制改革和机构改革，抓好各部门的职能配置、职责划分，加强宏观管理和调查研究，加大依法行政的力度，运用科学的管理方法确定机构编制，使机构编制管理工作法制化、系统化和科学化。强化机构编制管理的法制化建设和监督检查等。</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二、机构设置情况</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（一）机关内设机构</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县委机构编制委员会办公室内设以下3个股级机构。</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(一) 综合办公室。负责单位日常事务;研究起草单位综合性文件，研究拟定办公室规章制度和政治理论学习、业务学习安排;负责机构编制的法制建设;负责办公室干部管理，机构编制、人事工作、机要保密和档案管理工作;承担单位综合协调，会议会务工作; 负责单位的党建、纪检、综合治理、思想政治工作和精神文明建设。协调电子政务中心负责机构编制年报的统计上报和统计资料汇总工作;认真贯彻执行国家各项政策、法规及单位的各项规章制度，遵守财经纪律，爱岗敬业，忠于职守。编制财务收支预算，按时汇总和结转款项，向上级提供真实、准确的财务数字，做好会计资料、原始凭证的汇总及归档。遵守各项财务制度。审核费用支出，负责内外部往来款项的结算以及场站建设专项资金的使用管理。深入调查研究、分析研究单位内部存在的财务管理方面的问题，及时向领导提出合理化建议。严格执行统计法规，收集分类，汇总分析，做好各项原始材料的归档，按时报送各类统计报表。做好与财政、物价、审计、税务等职能部门的协调工作。</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(二) 事业单位登记管理股。负责拟定事业单位登记管理的方针、政策和规定，起草有关法律法规草案和部门规章，并组织实施和监督检查。依法保护核准登记的事业单位有关登记事项的合法权益。监督事业单位贯彻落实《事业单位登记管理暂行条例》(以下简称《条例》)和《事业单位登记管理暂行条例实施细则》(以下简称《实施细则》)，依法处理违反《条例》和《实施细则》的行为。指导和监督检查地方登记管理机关的事业单位登记管理工作。负责《实施细则》规定的管辖范围事业单位的登记管理工作。指导和实施事业单位法人治理结构、绩效评估和年度报告公开工作。组织和实施全国事业单位网上登记管理系统及信息管理工作。承担事业单位改革相关工作。开展有关事业单位登记管理的社会服务。负责开展党政机关社会统一信用代码赋码证的办理、变更、年检、注销等管理工作。</w:t>
      </w:r>
    </w:p>
    <w:p>
      <w:pPr>
        <w:spacing w:line="560" w:lineRule="exact"/>
        <w:rPr>
          <w:rFonts w:hint="eastAsia" w:ascii="仿宋" w:hAnsi="仿宋" w:eastAsia="仿宋" w:cs="仿宋"/>
          <w:bCs/>
          <w:sz w:val="32"/>
          <w:szCs w:val="32"/>
        </w:rPr>
      </w:pPr>
      <w:r>
        <w:rPr>
          <w:rFonts w:hint="eastAsia" w:ascii="仿宋" w:hAnsi="仿宋" w:eastAsia="仿宋" w:cs="仿宋"/>
          <w:bCs/>
          <w:sz w:val="32"/>
          <w:szCs w:val="32"/>
        </w:rPr>
        <w:t>机构编制股。负责机构编制的日常统计和信息汇总，指导各单位行政管理体制改革和机构编制管理工作。负责开展督查全县机关事业单位对机构编制管理法律、法规的贯彻执行情况，上级党委、 政府机构编制管理机关批准的改革方案中涉及机构编制事项的执行情况进行监督检查。负责开展全县行政机构限额、行政和事业编制总量控制情况;党政机关和事业单位的职能配置、机构设置、编制管理权限和审核、审批工作。受理违反机构编制管理规定问题的举报和查处违反机构编制管理规定的违规违纪问题。以及其他需要检查监督的事项。</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(三) 机构编制股。负责机构编制的日常统计和信息汇总，指导各单位行政管理体制改革和机构编制管理工作。负责开展督查全县机关事业单位对机构编制管理法律、法规的贯彻执行情况，上级党委、 政府机构编制管理机关批准的改革方案中涉及机构编制事项的执行情况进行监督检查。负责开展全县行政机构限额、行政和事业编制总量控制情况;党政机关和事业单位的职能配置、机构设置、编制管理权限和审核、审批工作。受理违反机构编制管理规定问题的举报和查处违反机构编制管理规定的违规违纪问题。以及其他需要检查监督的事项。</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（二）参照公务员法管理单位</w:t>
      </w:r>
    </w:p>
    <w:p>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本部门不是参照公务员管理单位</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（三）直属事业单位</w:t>
      </w:r>
    </w:p>
    <w:p>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本部门不是直属事业单位</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三、部门收支总体情况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按照预算管理有关规定，2024年部门收支包括机关预算和直属单位预算在内的汇总情况。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2024年部门收支总预算</w:t>
      </w:r>
      <w:r>
        <w:rPr>
          <w:rFonts w:hint="eastAsia" w:ascii="仿宋_GB2312" w:hAnsi="仿宋" w:eastAsia="仿宋_GB2312" w:cs="宋体"/>
          <w:kern w:val="0"/>
          <w:sz w:val="32"/>
          <w:szCs w:val="32"/>
          <w:lang w:val="en-US" w:eastAsia="zh-CN"/>
        </w:rPr>
        <w:t>431.81</w:t>
      </w:r>
      <w:r>
        <w:rPr>
          <w:rFonts w:hint="eastAsia" w:ascii="仿宋_GB2312" w:hAnsi="仿宋" w:eastAsia="仿宋_GB2312" w:cs="宋体"/>
          <w:kern w:val="0"/>
          <w:sz w:val="32"/>
          <w:szCs w:val="32"/>
        </w:rPr>
        <w:t>万元。按照综合预算的原则，部门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pPr>
        <w:spacing w:line="600" w:lineRule="exact"/>
        <w:ind w:firstLine="643" w:firstLineChars="200"/>
        <w:rPr>
          <w:rFonts w:ascii="楷体_GB2312" w:hAnsi="楷体" w:eastAsia="楷体_GB2312"/>
          <w:sz w:val="32"/>
          <w:szCs w:val="32"/>
        </w:rPr>
      </w:pPr>
      <w:r>
        <w:rPr>
          <w:rFonts w:hint="eastAsia" w:ascii="楷体_GB2312" w:hAnsi="楷体" w:eastAsia="楷体_GB2312" w:cs="宋体"/>
          <w:b/>
          <w:bCs/>
          <w:kern w:val="0"/>
          <w:sz w:val="32"/>
          <w:szCs w:val="32"/>
        </w:rPr>
        <w:t>（一）收入预算</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2024年收入预算 </w:t>
      </w:r>
      <w:r>
        <w:rPr>
          <w:rFonts w:hint="eastAsia" w:ascii="仿宋_GB2312" w:hAnsi="仿宋" w:eastAsia="仿宋_GB2312" w:cs="宋体"/>
          <w:kern w:val="0"/>
          <w:sz w:val="32"/>
          <w:szCs w:val="32"/>
          <w:lang w:val="en-US" w:eastAsia="zh-CN"/>
        </w:rPr>
        <w:t>431.81</w:t>
      </w:r>
      <w:r>
        <w:rPr>
          <w:rFonts w:hint="eastAsia" w:ascii="仿宋_GB2312" w:hAnsi="仿宋" w:eastAsia="仿宋_GB2312"/>
          <w:sz w:val="32"/>
          <w:szCs w:val="32"/>
        </w:rPr>
        <w:t>万元（详见部门预算公开表1,2）。包括：</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一般公共预算收入</w:t>
      </w:r>
      <w:r>
        <w:rPr>
          <w:rFonts w:hint="eastAsia" w:ascii="仿宋_GB2312" w:hAnsi="仿宋" w:eastAsia="仿宋_GB2312" w:cs="宋体"/>
          <w:kern w:val="0"/>
          <w:sz w:val="32"/>
          <w:szCs w:val="32"/>
          <w:lang w:val="en-US" w:eastAsia="zh-CN"/>
        </w:rPr>
        <w:t>431.81</w:t>
      </w:r>
      <w:r>
        <w:rPr>
          <w:rFonts w:hint="eastAsia" w:ascii="仿宋_GB2312" w:hAnsi="仿宋" w:eastAsia="仿宋_GB2312"/>
          <w:sz w:val="32"/>
          <w:szCs w:val="32"/>
        </w:rPr>
        <w:t xml:space="preserve"> 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政府性基金预算收入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上年结转收入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（二）支出预算</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2024年支出预算</w:t>
      </w:r>
      <w:r>
        <w:rPr>
          <w:rFonts w:hint="eastAsia" w:ascii="仿宋_GB2312" w:hAnsi="仿宋" w:eastAsia="仿宋_GB2312" w:cs="宋体"/>
          <w:kern w:val="0"/>
          <w:sz w:val="32"/>
          <w:szCs w:val="32"/>
          <w:lang w:val="en-US" w:eastAsia="zh-CN"/>
        </w:rPr>
        <w:t>431.81</w:t>
      </w:r>
      <w:r>
        <w:rPr>
          <w:rFonts w:hint="eastAsia" w:ascii="仿宋_GB2312" w:hAnsi="仿宋" w:eastAsia="仿宋_GB2312"/>
          <w:sz w:val="32"/>
          <w:szCs w:val="32"/>
        </w:rPr>
        <w:t>万元（详见部门预算公开表3）。</w:t>
      </w:r>
      <w:r>
        <w:rPr>
          <w:rStyle w:val="20"/>
          <w:rFonts w:hint="default" w:hAnsi="仿宋"/>
        </w:rPr>
        <w:t>其中：基本支出</w:t>
      </w:r>
      <w:r>
        <w:rPr>
          <w:rFonts w:hint="eastAsia" w:ascii="仿宋_GB2312" w:hAnsi="仿宋" w:eastAsia="仿宋_GB2312" w:cs="宋体"/>
          <w:kern w:val="0"/>
          <w:sz w:val="32"/>
          <w:szCs w:val="32"/>
          <w:lang w:val="en-US" w:eastAsia="zh-CN"/>
        </w:rPr>
        <w:t>431.81</w:t>
      </w:r>
      <w:r>
        <w:rPr>
          <w:rStyle w:val="20"/>
          <w:rFonts w:hint="default" w:hAnsi="仿宋"/>
        </w:rPr>
        <w:t>万元， 占</w:t>
      </w:r>
      <w:r>
        <w:rPr>
          <w:rStyle w:val="20"/>
          <w:rFonts w:hint="eastAsia" w:hAnsi="仿宋" w:eastAsia="仿宋_GB2312"/>
          <w:lang w:val="en-US" w:eastAsia="zh-CN"/>
        </w:rPr>
        <w:t>100</w:t>
      </w:r>
      <w:r>
        <w:rPr>
          <w:rStyle w:val="21"/>
          <w:rFonts w:hint="eastAsia" w:ascii="仿宋_GB2312" w:hAnsi="仿宋" w:eastAsia="仿宋_GB2312"/>
        </w:rPr>
        <w:t>%</w:t>
      </w:r>
      <w:r>
        <w:rPr>
          <w:rStyle w:val="20"/>
          <w:rFonts w:hint="default" w:hAnsi="仿宋"/>
        </w:rPr>
        <w:t>； 项目支出</w:t>
      </w:r>
      <w:r>
        <w:rPr>
          <w:rStyle w:val="20"/>
          <w:rFonts w:hint="eastAsia" w:hAnsi="仿宋" w:eastAsia="仿宋_GB2312"/>
          <w:lang w:val="en-US" w:eastAsia="zh-CN"/>
        </w:rPr>
        <w:t>0</w:t>
      </w:r>
      <w:r>
        <w:rPr>
          <w:rStyle w:val="20"/>
          <w:rFonts w:hint="default" w:hAnsi="仿宋"/>
        </w:rPr>
        <w:t>万元； 上年结转</w:t>
      </w:r>
      <w:r>
        <w:rPr>
          <w:rStyle w:val="20"/>
          <w:rFonts w:hint="eastAsia" w:hAnsi="仿宋" w:eastAsia="仿宋_GB2312"/>
          <w:lang w:val="en-US" w:eastAsia="zh-CN"/>
        </w:rPr>
        <w:t>0</w:t>
      </w:r>
      <w:r>
        <w:rPr>
          <w:rStyle w:val="20"/>
          <w:rFonts w:hint="default" w:hAnsi="仿宋"/>
        </w:rPr>
        <w:t>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四、一般公共预算情况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Style w:val="21"/>
          <w:rFonts w:hint="eastAsia" w:ascii="仿宋_GB2312" w:hAnsi="仿宋" w:eastAsia="仿宋_GB2312"/>
        </w:rPr>
        <w:t xml:space="preserve">2024 </w:t>
      </w:r>
      <w:r>
        <w:rPr>
          <w:rStyle w:val="20"/>
          <w:rFonts w:hint="default" w:hAnsi="仿宋"/>
        </w:rPr>
        <w:t>年一般公共预算当年支出</w:t>
      </w:r>
      <w:r>
        <w:rPr>
          <w:rFonts w:hint="eastAsia" w:ascii="仿宋_GB2312" w:hAnsi="仿宋" w:eastAsia="仿宋_GB2312" w:cs="宋体"/>
          <w:kern w:val="0"/>
          <w:sz w:val="32"/>
          <w:szCs w:val="32"/>
          <w:lang w:val="en-US" w:eastAsia="zh-CN"/>
        </w:rPr>
        <w:t>431.81</w:t>
      </w:r>
      <w:r>
        <w:rPr>
          <w:rStyle w:val="20"/>
          <w:rFonts w:hint="default" w:hAnsi="仿宋"/>
        </w:rPr>
        <w:t>万元，包括：一般公共服务支出</w:t>
      </w:r>
      <w:r>
        <w:rPr>
          <w:rStyle w:val="21"/>
          <w:rFonts w:hint="eastAsia" w:ascii="仿宋_GB2312" w:hAnsi="仿宋" w:eastAsia="仿宋_GB2312"/>
        </w:rPr>
        <w:t xml:space="preserve"> </w:t>
      </w:r>
      <w:r>
        <w:rPr>
          <w:rStyle w:val="21"/>
          <w:rFonts w:hint="eastAsia" w:ascii="仿宋_GB2312" w:hAnsi="仿宋" w:eastAsia="仿宋_GB2312"/>
          <w:lang w:val="en-US" w:eastAsia="zh-CN"/>
        </w:rPr>
        <w:t>349.05</w:t>
      </w:r>
      <w:r>
        <w:rPr>
          <w:rStyle w:val="20"/>
          <w:rFonts w:hint="default" w:hAnsi="仿宋"/>
        </w:rPr>
        <w:t>万元、公共安全支出</w:t>
      </w:r>
      <w:r>
        <w:rPr>
          <w:rStyle w:val="20"/>
          <w:rFonts w:hint="eastAsia" w:hAnsi="仿宋" w:eastAsia="仿宋_GB2312"/>
          <w:lang w:val="en-US" w:eastAsia="zh-CN"/>
        </w:rPr>
        <w:t>0</w:t>
      </w:r>
      <w:r>
        <w:rPr>
          <w:rStyle w:val="20"/>
          <w:rFonts w:hint="default" w:hAnsi="仿宋"/>
        </w:rPr>
        <w:t>万元、教育支出</w:t>
      </w:r>
      <w:r>
        <w:rPr>
          <w:rStyle w:val="20"/>
          <w:rFonts w:hint="eastAsia" w:hAnsi="仿宋" w:eastAsia="仿宋_GB2312"/>
          <w:lang w:val="en-US" w:eastAsia="zh-CN"/>
        </w:rPr>
        <w:t>0</w:t>
      </w:r>
      <w:r>
        <w:rPr>
          <w:rStyle w:val="20"/>
          <w:rFonts w:hint="default" w:hAnsi="仿宋"/>
        </w:rPr>
        <w:t>万元、科学技术支出</w:t>
      </w:r>
      <w:r>
        <w:rPr>
          <w:rStyle w:val="20"/>
          <w:rFonts w:hint="eastAsia" w:hAnsi="仿宋" w:eastAsia="仿宋_GB2312"/>
          <w:lang w:val="en-US" w:eastAsia="zh-CN"/>
        </w:rPr>
        <w:t>0</w:t>
      </w:r>
      <w:r>
        <w:rPr>
          <w:rStyle w:val="20"/>
          <w:rFonts w:hint="default" w:hAnsi="仿宋"/>
        </w:rPr>
        <w:t>万元、社会保障和就业支出</w:t>
      </w:r>
      <w:r>
        <w:rPr>
          <w:rStyle w:val="20"/>
          <w:rFonts w:hint="eastAsia" w:hAnsi="仿宋" w:eastAsia="仿宋_GB2312"/>
          <w:lang w:val="en-US" w:eastAsia="zh-CN"/>
        </w:rPr>
        <w:t>54.22</w:t>
      </w:r>
      <w:r>
        <w:rPr>
          <w:rStyle w:val="20"/>
          <w:rFonts w:hint="default" w:hAnsi="仿宋"/>
        </w:rPr>
        <w:t>万元、卫生健康支出</w:t>
      </w:r>
      <w:r>
        <w:rPr>
          <w:rStyle w:val="20"/>
          <w:rFonts w:hint="eastAsia" w:hAnsi="仿宋" w:eastAsia="仿宋_GB2312"/>
          <w:lang w:val="en-US" w:eastAsia="zh-CN"/>
        </w:rPr>
        <w:t>0.26</w:t>
      </w:r>
      <w:r>
        <w:rPr>
          <w:rStyle w:val="20"/>
          <w:rFonts w:hint="default" w:hAnsi="仿宋"/>
        </w:rPr>
        <w:t>万元</w:t>
      </w:r>
      <w:r>
        <w:rPr>
          <w:rStyle w:val="20"/>
          <w:rFonts w:hint="eastAsia" w:hAnsi="仿宋" w:eastAsia="仿宋_GB2312"/>
          <w:lang w:eastAsia="zh-CN"/>
        </w:rPr>
        <w:t>、住房保障支出</w:t>
      </w:r>
      <w:r>
        <w:rPr>
          <w:rStyle w:val="20"/>
          <w:rFonts w:hint="eastAsia" w:hAnsi="仿宋" w:eastAsia="仿宋_GB2312"/>
          <w:lang w:val="en-US" w:eastAsia="zh-CN"/>
        </w:rPr>
        <w:t>28.29</w:t>
      </w:r>
      <w:r>
        <w:rPr>
          <w:rStyle w:val="20"/>
          <w:rFonts w:hint="default" w:hAnsi="仿宋"/>
        </w:rPr>
        <w:t>万元</w:t>
      </w:r>
      <w:r>
        <w:rPr>
          <w:rStyle w:val="20"/>
          <w:rFonts w:hint="eastAsia" w:hAnsi="仿宋" w:eastAsia="仿宋_GB2312"/>
          <w:lang w:eastAsia="zh-CN"/>
        </w:rPr>
        <w:t>、</w:t>
      </w:r>
      <w:r>
        <w:rPr>
          <w:rStyle w:val="20"/>
          <w:rFonts w:hint="default" w:hAnsi="仿宋"/>
        </w:rPr>
        <w:t>其他支出</w:t>
      </w:r>
      <w:r>
        <w:rPr>
          <w:rStyle w:val="20"/>
          <w:rFonts w:hint="eastAsia" w:hAnsi="仿宋" w:eastAsia="仿宋_GB2312"/>
          <w:lang w:val="en-US" w:eastAsia="zh-CN"/>
        </w:rPr>
        <w:t>0</w:t>
      </w:r>
      <w:r>
        <w:rPr>
          <w:rStyle w:val="20"/>
          <w:rFonts w:hint="default" w:hAnsi="仿宋"/>
        </w:rPr>
        <w:t>万元。</w:t>
      </w:r>
      <w:r>
        <w:rPr>
          <w:rFonts w:hint="eastAsia" w:ascii="仿宋_GB2312" w:hAnsi="仿宋" w:eastAsia="仿宋_GB2312"/>
          <w:sz w:val="32"/>
          <w:szCs w:val="32"/>
        </w:rPr>
        <w:t>具体安排情况如下</w:t>
      </w:r>
      <w:r>
        <w:rPr>
          <w:rFonts w:hint="eastAsia" w:ascii="仿宋_GB2312" w:hAnsi="微软雅黑" w:eastAsia="仿宋_GB2312"/>
          <w:sz w:val="32"/>
          <w:szCs w:val="32"/>
        </w:rPr>
        <w:t>（详见部门预算公开表4,5,6,7）</w:t>
      </w:r>
      <w:r>
        <w:rPr>
          <w:rFonts w:hint="eastAsia" w:ascii="仿宋_GB2312" w:hAnsi="仿宋" w:eastAsia="仿宋_GB2312"/>
          <w:sz w:val="32"/>
          <w:szCs w:val="32"/>
        </w:rPr>
        <w:t>：</w:t>
      </w:r>
    </w:p>
    <w:p>
      <w:pPr>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（一）基本支出</w:t>
      </w:r>
    </w:p>
    <w:p>
      <w:pPr>
        <w:widowControl/>
        <w:spacing w:line="640" w:lineRule="exact"/>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rPr>
        <w:t>2024年基本支出</w:t>
      </w:r>
      <w:r>
        <w:rPr>
          <w:rFonts w:hint="eastAsia" w:ascii="仿宋_GB2312" w:hAnsi="仿宋" w:eastAsia="仿宋_GB2312" w:cs="宋体"/>
          <w:kern w:val="0"/>
          <w:sz w:val="32"/>
          <w:szCs w:val="32"/>
          <w:lang w:val="en-US" w:eastAsia="zh-CN"/>
        </w:rPr>
        <w:t>431.81</w:t>
      </w:r>
      <w:r>
        <w:rPr>
          <w:rFonts w:hint="eastAsia" w:ascii="仿宋_GB2312" w:hAnsi="仿宋" w:eastAsia="仿宋_GB2312"/>
          <w:sz w:val="32"/>
          <w:szCs w:val="32"/>
        </w:rPr>
        <w:t>万元，比2023年预算增加</w:t>
      </w:r>
      <w:r>
        <w:rPr>
          <w:rFonts w:hint="eastAsia" w:ascii="仿宋_GB2312" w:hAnsi="仿宋" w:eastAsia="仿宋_GB2312"/>
          <w:sz w:val="32"/>
          <w:szCs w:val="32"/>
          <w:lang w:val="en-US" w:eastAsia="zh-CN"/>
        </w:rPr>
        <w:t>239.81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55</w:t>
      </w:r>
      <w:r>
        <w:rPr>
          <w:rFonts w:hint="eastAsia" w:ascii="仿宋_GB2312" w:hAnsi="仿宋" w:eastAsia="仿宋_GB2312"/>
          <w:sz w:val="32"/>
          <w:szCs w:val="32"/>
        </w:rPr>
        <w:t xml:space="preserve"> %，增长的主要原因</w:t>
      </w:r>
      <w:r>
        <w:rPr>
          <w:rFonts w:hint="eastAsia" w:ascii="仿宋_GB2312" w:hAnsi="仿宋" w:eastAsia="仿宋_GB2312"/>
          <w:sz w:val="32"/>
          <w:szCs w:val="32"/>
          <w:lang w:eastAsia="zh-CN"/>
        </w:rPr>
        <w:t>是人员增加。</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其中：人员经费支出 </w:t>
      </w:r>
      <w:r>
        <w:rPr>
          <w:rFonts w:hint="eastAsia" w:ascii="仿宋_GB2312" w:hAnsi="仿宋" w:eastAsia="仿宋_GB2312"/>
          <w:sz w:val="32"/>
          <w:szCs w:val="32"/>
          <w:lang w:val="en-US" w:eastAsia="zh-CN"/>
        </w:rPr>
        <w:t>399.68</w:t>
      </w:r>
      <w:r>
        <w:rPr>
          <w:rFonts w:hint="eastAsia" w:ascii="仿宋_GB2312" w:hAnsi="仿宋" w:eastAsia="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 、其他对个人和家庭的补助等。</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公用经费支出</w:t>
      </w:r>
      <w:r>
        <w:rPr>
          <w:rFonts w:hint="eastAsia" w:ascii="仿宋_GB2312" w:hAnsi="仿宋" w:eastAsia="仿宋_GB2312"/>
          <w:sz w:val="32"/>
          <w:szCs w:val="32"/>
          <w:lang w:val="en-US" w:eastAsia="zh-CN"/>
        </w:rPr>
        <w:t>32.13</w:t>
      </w:r>
      <w:r>
        <w:rPr>
          <w:rFonts w:hint="eastAsia" w:ascii="仿宋_GB2312" w:hAnsi="仿宋" w:eastAsia="仿宋_GB2312"/>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等。</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（二）项目支出</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2024年一般公共预算财政拨款项目支出预算 </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万元，比2023年预算增加（减少）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 w:hAnsi="仿宋" w:eastAsia="仿宋" w:cs="仿宋"/>
          <w:bCs/>
          <w:sz w:val="32"/>
          <w:szCs w:val="32"/>
        </w:rPr>
        <w:t>比上年无变化</w:t>
      </w:r>
      <w:r>
        <w:rPr>
          <w:rFonts w:hint="eastAsia" w:ascii="仿宋" w:hAnsi="仿宋" w:eastAsia="仿宋" w:cs="仿宋"/>
          <w:bCs/>
          <w:sz w:val="32"/>
          <w:szCs w:val="32"/>
          <w:lang w:eastAsia="zh-CN"/>
        </w:rPr>
        <w:t>。</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经济社会发展项目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保障运转经费 </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其他项目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（三）支出功能分类说明</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当年财政拨款支出按功能分类科目安排为：一般公共服务支出</w:t>
      </w:r>
      <w:r>
        <w:rPr>
          <w:rFonts w:hint="eastAsia" w:ascii="仿宋_GB2312" w:hAnsi="仿宋" w:eastAsia="仿宋_GB2312" w:cs="宋体"/>
          <w:kern w:val="0"/>
          <w:sz w:val="32"/>
          <w:szCs w:val="32"/>
          <w:lang w:val="en-US" w:eastAsia="zh-CN"/>
        </w:rPr>
        <w:t>431.8</w:t>
      </w:r>
      <w:r>
        <w:rPr>
          <w:rFonts w:hint="eastAsia" w:ascii="仿宋" w:hAnsi="仿宋" w:eastAsia="仿宋" w:cs="仿宋"/>
          <w:bCs/>
          <w:sz w:val="32"/>
          <w:szCs w:val="32"/>
        </w:rPr>
        <w:t>万元。</w:t>
      </w:r>
    </w:p>
    <w:p>
      <w:pPr>
        <w:adjustRightInd w:val="0"/>
        <w:snapToGrid w:val="0"/>
        <w:spacing w:line="640" w:lineRule="exact"/>
        <w:ind w:firstLine="640" w:firstLineChars="200"/>
        <w:contextualSpacing/>
        <w:rPr>
          <w:rFonts w:hint="eastAsia" w:ascii="仿宋" w:hAnsi="仿宋" w:eastAsia="仿宋" w:cs="仿宋"/>
          <w:bCs/>
          <w:sz w:val="32"/>
          <w:szCs w:val="32"/>
        </w:rPr>
      </w:pPr>
      <w:r>
        <w:rPr>
          <w:rFonts w:hint="eastAsia" w:ascii="仿宋" w:hAnsi="仿宋" w:eastAsia="仿宋" w:cs="仿宋"/>
          <w:bCs/>
          <w:sz w:val="32"/>
          <w:szCs w:val="32"/>
        </w:rPr>
        <w:t>一般公共预算基本支出按部门预算经济分类科目安排为：工资福利支出</w:t>
      </w:r>
      <w:r>
        <w:rPr>
          <w:rFonts w:hint="eastAsia" w:ascii="仿宋_GB2312" w:hAnsi="仿宋" w:eastAsia="仿宋_GB2312"/>
          <w:sz w:val="32"/>
          <w:szCs w:val="32"/>
          <w:lang w:val="en-US" w:eastAsia="zh-CN"/>
        </w:rPr>
        <w:t>399.68</w:t>
      </w:r>
      <w:r>
        <w:rPr>
          <w:rFonts w:hint="eastAsia" w:ascii="仿宋" w:hAnsi="仿宋" w:eastAsia="仿宋" w:cs="仿宋"/>
          <w:bCs/>
          <w:sz w:val="32"/>
          <w:szCs w:val="32"/>
        </w:rPr>
        <w:t>万元，商品和服务支出</w:t>
      </w:r>
      <w:r>
        <w:rPr>
          <w:rFonts w:hint="eastAsia" w:ascii="仿宋" w:hAnsi="仿宋" w:eastAsia="仿宋" w:cs="仿宋"/>
          <w:bCs/>
          <w:sz w:val="32"/>
          <w:szCs w:val="32"/>
          <w:lang w:val="en-US" w:eastAsia="zh-CN"/>
        </w:rPr>
        <w:t>32.12</w:t>
      </w:r>
      <w:r>
        <w:rPr>
          <w:rFonts w:hint="eastAsia" w:ascii="仿宋" w:hAnsi="仿宋" w:eastAsia="仿宋" w:cs="仿宋"/>
          <w:bCs/>
          <w:sz w:val="32"/>
          <w:szCs w:val="32"/>
        </w:rPr>
        <w:t>万元，对个人和家庭的补助0万元，资本性支出0万元。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五、部门（单位）一般公共预算财政拨款“三公”经费、培训费、会议费等情况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（一）“三公”经费情况说明</w:t>
      </w:r>
    </w:p>
    <w:p>
      <w:pPr>
        <w:adjustRightInd w:val="0"/>
        <w:snapToGrid w:val="0"/>
        <w:spacing w:line="640" w:lineRule="exact"/>
        <w:ind w:firstLine="640" w:firstLineChars="200"/>
        <w:contextualSpacing/>
        <w:rPr>
          <w:rFonts w:ascii="仿宋_GB2312" w:hAnsi="仿宋" w:eastAsia="仿宋_GB2312" w:cs="宋体"/>
          <w:b/>
          <w:kern w:val="0"/>
          <w:sz w:val="32"/>
          <w:szCs w:val="32"/>
        </w:rPr>
      </w:pPr>
      <w:r>
        <w:rPr>
          <w:rFonts w:hint="eastAsia" w:ascii="仿宋_GB2312" w:hAnsi="仿宋" w:eastAsia="仿宋_GB2312"/>
          <w:sz w:val="32"/>
          <w:szCs w:val="32"/>
        </w:rPr>
        <w:t>“三公”经费预算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w:t>
      </w:r>
      <w:r>
        <w:rPr>
          <w:rFonts w:hint="eastAsia" w:ascii="仿宋_GB2312" w:hAnsi="仿宋" w:eastAsia="仿宋_GB2312"/>
          <w:sz w:val="32"/>
          <w:szCs w:val="32"/>
          <w:lang w:eastAsia="zh-CN"/>
        </w:rPr>
        <w:t>无变化</w:t>
      </w:r>
      <w:r>
        <w:rPr>
          <w:rFonts w:hint="eastAsia" w:ascii="仿宋_GB2312" w:hAnsi="仿宋" w:eastAsia="仿宋_GB2312"/>
          <w:sz w:val="32"/>
          <w:szCs w:val="32"/>
        </w:rPr>
        <w:t>。</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1.因公出国（境）费用</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w:t>
      </w:r>
      <w:r>
        <w:rPr>
          <w:rFonts w:hint="eastAsia" w:ascii="仿宋_GB2312" w:hAnsi="仿宋" w:eastAsia="仿宋_GB2312"/>
          <w:sz w:val="32"/>
          <w:szCs w:val="32"/>
          <w:lang w:eastAsia="zh-CN"/>
        </w:rPr>
        <w:t>无变化</w:t>
      </w:r>
      <w:r>
        <w:rPr>
          <w:rFonts w:hint="eastAsia" w:ascii="仿宋_GB2312" w:hAnsi="仿宋" w:eastAsia="仿宋_GB2312"/>
          <w:sz w:val="32"/>
          <w:szCs w:val="32"/>
        </w:rPr>
        <w:t>。</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2.公务接待费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w:t>
      </w:r>
      <w:r>
        <w:rPr>
          <w:rFonts w:hint="eastAsia" w:ascii="仿宋_GB2312" w:hAnsi="仿宋" w:eastAsia="仿宋_GB2312"/>
          <w:sz w:val="32"/>
          <w:szCs w:val="32"/>
          <w:lang w:eastAsia="zh-CN"/>
        </w:rPr>
        <w:t>无变化</w:t>
      </w:r>
      <w:r>
        <w:rPr>
          <w:rFonts w:hint="eastAsia" w:ascii="仿宋_GB2312" w:hAnsi="仿宋" w:eastAsia="仿宋_GB2312"/>
          <w:sz w:val="32"/>
          <w:szCs w:val="32"/>
        </w:rPr>
        <w:t>。</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3.公务用车购置及运行维护费 </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w:t>
      </w:r>
      <w:r>
        <w:rPr>
          <w:rFonts w:hint="eastAsia" w:ascii="仿宋_GB2312" w:hAnsi="仿宋" w:eastAsia="仿宋_GB2312"/>
          <w:sz w:val="32"/>
          <w:szCs w:val="32"/>
          <w:lang w:eastAsia="zh-CN"/>
        </w:rPr>
        <w:t>无变化）</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（二）培训费预算情况说明</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4.培训费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万元，较2023年预算减少</w:t>
      </w:r>
      <w:r>
        <w:rPr>
          <w:rFonts w:hint="eastAsia" w:ascii="仿宋_GB2312" w:hAnsi="仿宋" w:eastAsia="仿宋_GB2312"/>
          <w:sz w:val="32"/>
          <w:szCs w:val="32"/>
          <w:lang w:val="en-US" w:eastAsia="zh-CN"/>
        </w:rPr>
        <w:t>2.6</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100</w:t>
      </w:r>
      <w:r>
        <w:rPr>
          <w:rFonts w:hint="eastAsia" w:ascii="仿宋_GB2312" w:hAnsi="仿宋" w:eastAsia="仿宋_GB2312"/>
          <w:sz w:val="32"/>
          <w:szCs w:val="32"/>
        </w:rPr>
        <w:t>%，下降的主要原因是</w:t>
      </w:r>
      <w:r>
        <w:rPr>
          <w:rFonts w:hint="eastAsia" w:ascii="仿宋_GB2312" w:hAnsi="仿宋" w:eastAsia="仿宋_GB2312"/>
          <w:sz w:val="32"/>
          <w:szCs w:val="32"/>
          <w:lang w:eastAsia="zh-CN"/>
        </w:rPr>
        <w:t>培训工作职能由其他部门承担</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（三）会议费预算情况说明</w:t>
      </w:r>
    </w:p>
    <w:p>
      <w:pPr>
        <w:widowControl/>
        <w:adjustRightInd w:val="0"/>
        <w:snapToGrid w:val="0"/>
        <w:spacing w:line="640" w:lineRule="exact"/>
        <w:ind w:firstLine="640" w:firstLineChars="200"/>
        <w:contextualSpacing/>
        <w:jc w:val="left"/>
        <w:rPr>
          <w:rFonts w:ascii="仿宋_GB2312" w:eastAsia="仿宋_GB2312"/>
          <w:sz w:val="32"/>
          <w:szCs w:val="32"/>
        </w:rPr>
      </w:pPr>
      <w:r>
        <w:rPr>
          <w:rFonts w:hint="eastAsia" w:ascii="仿宋_GB2312" w:hAnsi="仿宋" w:eastAsia="仿宋_GB2312"/>
          <w:sz w:val="32"/>
          <w:szCs w:val="32"/>
        </w:rPr>
        <w:t>5.会议费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w:t>
      </w:r>
      <w:r>
        <w:rPr>
          <w:rFonts w:hint="eastAsia" w:ascii="仿宋_GB2312" w:hAnsi="仿宋" w:eastAsia="仿宋_GB2312"/>
          <w:sz w:val="32"/>
          <w:szCs w:val="32"/>
          <w:lang w:eastAsia="zh-CN"/>
        </w:rPr>
        <w:t>无变化</w:t>
      </w:r>
      <w:r>
        <w:rPr>
          <w:rFonts w:hint="eastAsia" w:ascii="仿宋_GB2312" w:hAnsi="仿宋" w:eastAsia="仿宋_GB2312"/>
          <w:sz w:val="32"/>
          <w:szCs w:val="32"/>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六、一般公共预算财政拨款机关运行经费情况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机关运行经费</w:t>
      </w:r>
      <w:r>
        <w:rPr>
          <w:rFonts w:hint="eastAsia" w:ascii="仿宋_GB2312" w:hAnsi="仿宋" w:eastAsia="仿宋_GB2312"/>
          <w:sz w:val="32"/>
          <w:szCs w:val="32"/>
          <w:lang w:val="en-US" w:eastAsia="zh-CN"/>
        </w:rPr>
        <w:t>18</w:t>
      </w:r>
      <w:r>
        <w:rPr>
          <w:rFonts w:hint="eastAsia" w:ascii="仿宋_GB2312" w:hAnsi="仿宋" w:eastAsia="仿宋_GB2312"/>
          <w:sz w:val="32"/>
          <w:szCs w:val="32"/>
        </w:rPr>
        <w:t>万元，较2023年预算</w:t>
      </w:r>
      <w:r>
        <w:rPr>
          <w:rFonts w:hint="eastAsia" w:ascii="仿宋_GB2312" w:hAnsi="仿宋" w:eastAsia="仿宋_GB2312"/>
          <w:sz w:val="32"/>
          <w:szCs w:val="32"/>
          <w:lang w:eastAsia="zh-CN"/>
        </w:rPr>
        <w:t>无变化</w:t>
      </w:r>
      <w:r>
        <w:rPr>
          <w:rFonts w:hint="eastAsia" w:ascii="仿宋_GB2312" w:hAnsi="仿宋" w:eastAsia="仿宋_GB2312"/>
          <w:sz w:val="32"/>
          <w:szCs w:val="32"/>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七、政府采购安排情况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2024年，部门（单位）政府采购预算总额 </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2024年，部门（单位）面向中小企业预留政府采购项目预算金额  万元，小微企业预留政府采购项目预算金额</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八、国有资产占用情况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上年末固定资产金额为</w:t>
      </w:r>
      <w:r>
        <w:rPr>
          <w:rFonts w:hint="eastAsia" w:ascii="仿宋_GB2312" w:hAnsi="仿宋" w:eastAsia="仿宋_GB2312"/>
          <w:sz w:val="32"/>
          <w:szCs w:val="32"/>
          <w:lang w:val="en-US" w:eastAsia="zh-CN"/>
        </w:rPr>
        <w:t>15.36</w:t>
      </w:r>
      <w:r>
        <w:rPr>
          <w:rFonts w:hint="eastAsia" w:ascii="仿宋_GB2312" w:hAnsi="仿宋" w:eastAsia="仿宋_GB2312"/>
          <w:sz w:val="32"/>
          <w:szCs w:val="32"/>
        </w:rPr>
        <w:t xml:space="preserve">万元。其中：办公用房 </w:t>
      </w:r>
      <w:r>
        <w:rPr>
          <w:rFonts w:hint="eastAsia" w:ascii="仿宋_GB2312" w:hAnsi="仿宋" w:eastAsia="仿宋_GB2312"/>
          <w:sz w:val="32"/>
          <w:szCs w:val="32"/>
          <w:lang w:val="en-US" w:eastAsia="zh-CN"/>
        </w:rPr>
        <w:t>150</w:t>
      </w:r>
      <w:r>
        <w:rPr>
          <w:rFonts w:hint="eastAsia" w:ascii="仿宋_GB2312" w:hAnsi="仿宋" w:eastAsia="仿宋_GB2312"/>
          <w:sz w:val="32"/>
          <w:szCs w:val="32"/>
        </w:rPr>
        <w:t xml:space="preserve">平方米，价值 </w:t>
      </w:r>
      <w:r>
        <w:rPr>
          <w:rFonts w:hint="eastAsia" w:ascii="仿宋_GB2312" w:hAnsi="仿宋" w:eastAsia="仿宋_GB2312"/>
          <w:sz w:val="32"/>
          <w:szCs w:val="32"/>
          <w:lang w:val="en-US" w:eastAsia="zh-CN"/>
        </w:rPr>
        <w:t>12</w:t>
      </w:r>
      <w:r>
        <w:rPr>
          <w:rFonts w:hint="eastAsia" w:ascii="仿宋_GB2312" w:hAnsi="仿宋" w:eastAsia="仿宋_GB2312"/>
          <w:sz w:val="32"/>
          <w:szCs w:val="32"/>
        </w:rPr>
        <w:t>万元。预算部门（单位）共有公务用车</w:t>
      </w:r>
      <w:r>
        <w:rPr>
          <w:rFonts w:hint="eastAsia" w:ascii="仿宋_GB2312" w:hAnsi="仿宋" w:eastAsia="仿宋_GB2312"/>
          <w:sz w:val="32"/>
          <w:szCs w:val="32"/>
          <w:lang w:val="en-US" w:eastAsia="zh-CN"/>
        </w:rPr>
        <w:t>0</w:t>
      </w:r>
      <w:r>
        <w:rPr>
          <w:rFonts w:hint="eastAsia" w:ascii="仿宋_GB2312" w:hAnsi="仿宋" w:eastAsia="仿宋_GB2312"/>
          <w:sz w:val="32"/>
          <w:szCs w:val="32"/>
        </w:rPr>
        <w:t>辆。</w:t>
      </w:r>
      <w:r>
        <w:rPr>
          <w:rFonts w:hint="eastAsia" w:ascii="仿宋_GB2312" w:hAnsi="仿宋" w:eastAsia="仿宋_GB2312"/>
          <w:sz w:val="32"/>
          <w:szCs w:val="32"/>
          <w:lang w:eastAsia="zh-CN"/>
        </w:rPr>
        <w:t>无</w:t>
      </w:r>
      <w:r>
        <w:rPr>
          <w:rFonts w:hint="eastAsia" w:ascii="仿宋_GB2312" w:hAnsi="仿宋" w:eastAsia="仿宋_GB2312"/>
          <w:sz w:val="32"/>
          <w:szCs w:val="32"/>
        </w:rPr>
        <w:t xml:space="preserve">单价20万元以上的设备。2024年拟采购固定资产约 </w:t>
      </w:r>
      <w:r>
        <w:rPr>
          <w:rFonts w:hint="eastAsia" w:ascii="仿宋_GB2312" w:hAnsi="仿宋" w:eastAsia="仿宋_GB2312"/>
          <w:sz w:val="32"/>
          <w:szCs w:val="32"/>
          <w:lang w:val="en-US" w:eastAsia="zh-CN"/>
        </w:rPr>
        <w:t>2</w:t>
      </w:r>
      <w:r>
        <w:rPr>
          <w:rFonts w:hint="eastAsia" w:ascii="仿宋_GB2312" w:hAnsi="仿宋" w:eastAsia="仿宋_GB2312"/>
          <w:sz w:val="32"/>
          <w:szCs w:val="32"/>
        </w:rPr>
        <w:t>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九、其他重要事项情况说明</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（一）政府性基金预算支出情况</w:t>
      </w:r>
    </w:p>
    <w:p>
      <w:pPr>
        <w:adjustRightInd w:val="0"/>
        <w:snapToGrid w:val="0"/>
        <w:spacing w:line="64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未安排预算，政府性基金预算支出情况表为空表</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（二）非税收入情况</w:t>
      </w:r>
    </w:p>
    <w:p>
      <w:pPr>
        <w:adjustRightInd w:val="0"/>
        <w:snapToGrid w:val="0"/>
        <w:spacing w:line="64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本部门 2024 年无非税收入</w:t>
      </w:r>
    </w:p>
    <w:p>
      <w:pPr>
        <w:numPr>
          <w:ilvl w:val="0"/>
          <w:numId w:val="1"/>
        </w:numPr>
        <w:adjustRightInd w:val="0"/>
        <w:snapToGrid w:val="0"/>
        <w:spacing w:line="640" w:lineRule="exact"/>
        <w:ind w:firstLine="643" w:firstLineChars="200"/>
        <w:contextualSpacing/>
        <w:rPr>
          <w:rFonts w:hint="eastAsia" w:ascii="楷体_GB2312" w:hAnsi="楷体" w:eastAsia="楷体_GB2312" w:cs="宋体"/>
          <w:b/>
          <w:bCs/>
          <w:kern w:val="0"/>
          <w:sz w:val="32"/>
          <w:szCs w:val="32"/>
        </w:rPr>
      </w:pPr>
      <w:r>
        <w:rPr>
          <w:rFonts w:hint="eastAsia" w:ascii="楷体_GB2312" w:hAnsi="楷体" w:eastAsia="楷体_GB2312" w:cs="宋体"/>
          <w:b/>
          <w:bCs/>
          <w:kern w:val="0"/>
          <w:sz w:val="32"/>
          <w:szCs w:val="32"/>
        </w:rPr>
        <w:t>重点项目情况</w:t>
      </w:r>
    </w:p>
    <w:p>
      <w:pPr>
        <w:numPr>
          <w:ilvl w:val="0"/>
          <w:numId w:val="0"/>
        </w:numPr>
        <w:adjustRightInd w:val="0"/>
        <w:snapToGrid w:val="0"/>
        <w:spacing w:line="640" w:lineRule="exact"/>
        <w:ind w:firstLine="640" w:firstLineChars="200"/>
        <w:contextualSpacing/>
        <w:rPr>
          <w:rFonts w:hint="eastAsia" w:ascii="楷体_GB2312" w:hAnsi="楷体" w:eastAsia="仿宋_GB2312" w:cs="宋体"/>
          <w:b/>
          <w:bCs/>
          <w:kern w:val="0"/>
          <w:sz w:val="32"/>
          <w:szCs w:val="32"/>
          <w:lang w:eastAsia="zh-CN"/>
        </w:rPr>
      </w:pPr>
      <w:r>
        <w:rPr>
          <w:rFonts w:hint="eastAsia" w:ascii="仿宋_GB2312" w:hAnsi="仿宋" w:eastAsia="仿宋_GB2312"/>
          <w:sz w:val="32"/>
          <w:szCs w:val="32"/>
        </w:rPr>
        <w:t>未安排预算</w:t>
      </w:r>
      <w:r>
        <w:rPr>
          <w:rFonts w:hint="eastAsia" w:ascii="仿宋_GB2312" w:hAnsi="仿宋" w:eastAsia="仿宋_GB2312"/>
          <w:sz w:val="32"/>
          <w:szCs w:val="32"/>
          <w:lang w:eastAsia="zh-CN"/>
        </w:rPr>
        <w:t>，本单位无任何项目</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w:t>
      </w:r>
      <w:r>
        <w:rPr>
          <w:rFonts w:hint="eastAsia" w:ascii="楷体_GB2312" w:hAnsi="楷体" w:eastAsia="楷体_GB2312" w:cs="宋体"/>
          <w:b/>
          <w:bCs/>
          <w:kern w:val="0"/>
          <w:sz w:val="32"/>
          <w:szCs w:val="32"/>
          <w:lang w:val="en-US" w:eastAsia="zh-CN"/>
        </w:rPr>
        <w:t>四</w:t>
      </w:r>
      <w:r>
        <w:rPr>
          <w:rFonts w:hint="eastAsia" w:ascii="楷体_GB2312" w:hAnsi="楷体" w:eastAsia="楷体_GB2312" w:cs="宋体"/>
          <w:b/>
          <w:bCs/>
          <w:kern w:val="0"/>
          <w:sz w:val="32"/>
          <w:szCs w:val="32"/>
        </w:rPr>
        <w:t>）国有资本经营预算支出情况</w:t>
      </w:r>
    </w:p>
    <w:p>
      <w:pPr>
        <w:adjustRightInd w:val="0"/>
        <w:snapToGrid w:val="0"/>
        <w:spacing w:line="64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未安排预算，国有资本经营预算支出情况表为空表</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十、预算绩效管理情况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（一）2023年预算绩效管理工作情况。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1.绩效目标管理情况。</w:t>
      </w:r>
      <w:r>
        <w:rPr>
          <w:rFonts w:hint="eastAsia" w:ascii="仿宋_GB2312" w:hAnsi="仿宋" w:eastAsia="仿宋_GB2312"/>
          <w:sz w:val="32"/>
          <w:szCs w:val="32"/>
        </w:rPr>
        <w:t>2023年度，按照“谁申请资金，谁设置目标”的原则，纳入部门预算管理的</w:t>
      </w:r>
      <w:r>
        <w:rPr>
          <w:rFonts w:hint="eastAsia" w:ascii="仿宋_GB2312" w:hAnsi="CIDFont+F6" w:eastAsia="仿宋_GB2312"/>
          <w:color w:val="000000"/>
          <w:sz w:val="32"/>
          <w:szCs w:val="32"/>
        </w:rPr>
        <w:t>部门</w:t>
      </w:r>
      <w:r>
        <w:rPr>
          <w:rFonts w:hint="eastAsia" w:ascii="仿宋_GB2312" w:hAnsi="仿宋" w:eastAsia="仿宋_GB2312"/>
          <w:sz w:val="32"/>
          <w:szCs w:val="32"/>
        </w:rPr>
        <w:t xml:space="preserve">整体支出和项目绩效目标 </w:t>
      </w:r>
      <w:r>
        <w:rPr>
          <w:rFonts w:hint="eastAsia" w:ascii="仿宋_GB2312" w:hAnsi="仿宋" w:eastAsia="仿宋_GB2312"/>
          <w:sz w:val="32"/>
          <w:szCs w:val="32"/>
          <w:lang w:val="en-US" w:eastAsia="zh-CN"/>
        </w:rPr>
        <w:t>1</w:t>
      </w:r>
      <w:r>
        <w:rPr>
          <w:rFonts w:hint="eastAsia" w:ascii="仿宋_GB2312" w:hAnsi="仿宋" w:eastAsia="仿宋_GB2312"/>
          <w:sz w:val="32"/>
          <w:szCs w:val="32"/>
        </w:rPr>
        <w:t>个，按规定随年度预算一并公开项目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个，公开率为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 xml:space="preserve"> %。</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2.绩效运行监控情况。</w:t>
      </w:r>
      <w:r>
        <w:rPr>
          <w:rFonts w:hint="eastAsia" w:ascii="仿宋_GB2312" w:hAnsi="仿宋" w:eastAsia="仿宋_GB2312"/>
          <w:sz w:val="32"/>
          <w:szCs w:val="32"/>
        </w:rPr>
        <w:t xml:space="preserve">2023年7月，组织开展1-6月绩效运行监控项目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个。截至7月底，如期完成预算执行和绩效目标指标值的项目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个。开展1-9月绩效运行监控项目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个。截至10月底，如期完成预算执行和绩效目标指标值的项目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3.绩效自评开展情况。</w:t>
      </w:r>
      <w:r>
        <w:rPr>
          <w:rFonts w:hint="eastAsia" w:ascii="仿宋_GB2312" w:hAnsi="仿宋" w:eastAsia="仿宋_GB2312"/>
          <w:sz w:val="32"/>
          <w:szCs w:val="32"/>
        </w:rPr>
        <w:t xml:space="preserve">2023年度，组织开展绩效自评项目共 </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个，其中，部门整体支出</w:t>
      </w:r>
      <w:r>
        <w:rPr>
          <w:rFonts w:hint="eastAsia" w:ascii="仿宋_GB2312" w:hAnsi="仿宋" w:eastAsia="仿宋_GB2312"/>
          <w:sz w:val="32"/>
          <w:szCs w:val="32"/>
          <w:lang w:val="en-US" w:eastAsia="zh-CN"/>
        </w:rPr>
        <w:t>1</w:t>
      </w:r>
      <w:r>
        <w:rPr>
          <w:rFonts w:hint="eastAsia" w:ascii="仿宋_GB2312" w:hAnsi="仿宋" w:eastAsia="仿宋_GB2312"/>
          <w:sz w:val="32"/>
          <w:szCs w:val="32"/>
        </w:rPr>
        <w:t xml:space="preserve">个，项目支出 </w:t>
      </w:r>
      <w:r>
        <w:rPr>
          <w:rFonts w:hint="eastAsia" w:ascii="仿宋_GB2312" w:hAnsi="仿宋" w:eastAsia="仿宋_GB2312"/>
          <w:sz w:val="32"/>
          <w:szCs w:val="32"/>
          <w:lang w:val="en-US" w:eastAsia="zh-CN"/>
        </w:rPr>
        <w:t>0</w:t>
      </w:r>
      <w:r>
        <w:rPr>
          <w:rFonts w:hint="eastAsia" w:ascii="仿宋_GB2312" w:hAnsi="仿宋" w:eastAsia="仿宋_GB2312"/>
          <w:sz w:val="32"/>
          <w:szCs w:val="32"/>
        </w:rPr>
        <w:t>个，转移支付项目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个，绩效自评覆盖率为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 xml:space="preserve"> %。</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4.绩效结果应用情况。</w:t>
      </w:r>
      <w:r>
        <w:rPr>
          <w:rFonts w:hint="eastAsia" w:ascii="仿宋_GB2312" w:hAnsi="仿宋" w:eastAsia="仿宋_GB2312"/>
          <w:sz w:val="32"/>
          <w:szCs w:val="32"/>
        </w:rPr>
        <w:t>根据2023年度绩效运行监控、绩效自评等情况，当年盘活财政资金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万元，2024年度增加（减少）部门预算项目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个，增长率/压减率</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%。同时对政策和项目资金管理作出调整的   </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（二）2024年绩效目标编制情况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2024年，纳入部门预算绩效目标管理的项目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个。其中，部门整体支出绩效目标围绕部门管理、履职效果、能力建设三个维度，设置二级指标</w:t>
      </w:r>
      <w:r>
        <w:rPr>
          <w:rFonts w:hint="eastAsia" w:ascii="仿宋_GB2312" w:hAnsi="仿宋" w:eastAsia="仿宋_GB2312"/>
          <w:sz w:val="32"/>
          <w:szCs w:val="32"/>
          <w:lang w:val="en-US" w:eastAsia="zh-CN"/>
        </w:rPr>
        <w:t>13</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26</w:t>
      </w:r>
      <w:r>
        <w:rPr>
          <w:rFonts w:hint="eastAsia" w:ascii="仿宋_GB2312" w:hAnsi="仿宋" w:eastAsia="仿宋_GB2312"/>
          <w:sz w:val="32"/>
          <w:szCs w:val="32"/>
        </w:rPr>
        <w:t xml:space="preserve">个；项目支出绩效目标围绕成本指标、产出指标、效益指标、满意度指标四个维度，设置二级指标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个、三级指标 </w:t>
      </w:r>
      <w:r>
        <w:rPr>
          <w:rFonts w:hint="eastAsia" w:ascii="仿宋_GB2312" w:hAnsi="仿宋" w:eastAsia="仿宋_GB2312"/>
          <w:sz w:val="32"/>
          <w:szCs w:val="32"/>
          <w:lang w:val="en-US" w:eastAsia="zh-CN"/>
        </w:rPr>
        <w:t>0</w:t>
      </w:r>
      <w:r>
        <w:rPr>
          <w:rFonts w:hint="eastAsia" w:ascii="仿宋_GB2312" w:hAnsi="仿宋" w:eastAsia="仿宋_GB2312"/>
          <w:sz w:val="32"/>
          <w:szCs w:val="32"/>
        </w:rPr>
        <w:t>个。各项绩效目标内容指向明确、细化量化、合理可行，符合规定的格式要求。</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十一、名词解释</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部门（单位）支出预算的组成部分，是各部门（单位）为完成其特定的行政任务或事业发展目标，在基本支出预算之外编制的年度项目支出计划。</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ind w:firstLine="3840" w:firstLineChars="1200"/>
        <w:contextualSpacing/>
        <w:rPr>
          <w:rFonts w:hint="eastAsia" w:ascii="仿宋_GB2312" w:hAnsi="CIDFont+F6" w:eastAsia="仿宋_GB2312"/>
          <w:color w:val="000000"/>
          <w:sz w:val="32"/>
          <w:szCs w:val="32"/>
        </w:rPr>
      </w:pPr>
      <w:r>
        <w:rPr>
          <w:rFonts w:hint="eastAsia" w:ascii="仿宋_GB2312" w:hAnsi="CIDFont+F6" w:eastAsia="仿宋_GB2312"/>
          <w:color w:val="000000"/>
          <w:sz w:val="32"/>
          <w:szCs w:val="32"/>
        </w:rPr>
        <w:t>中共积石山县委机构编制委员会办公室</w:t>
      </w:r>
    </w:p>
    <w:p>
      <w:pPr>
        <w:adjustRightInd w:val="0"/>
        <w:snapToGrid w:val="0"/>
        <w:spacing w:line="640" w:lineRule="exact"/>
        <w:ind w:right="1120"/>
        <w:contextualSpacing/>
        <w:jc w:val="right"/>
        <w:rPr>
          <w:rFonts w:ascii="仿宋_GB2312" w:eastAsia="仿宋_GB2312"/>
          <w:sz w:val="32"/>
          <w:szCs w:val="32"/>
        </w:rPr>
      </w:pPr>
      <w:r>
        <w:rPr>
          <w:rFonts w:hint="eastAsia" w:ascii="仿宋_GB2312" w:hAnsi="CIDFont+F6" w:eastAsia="仿宋_GB2312"/>
          <w:color w:val="000000"/>
          <w:sz w:val="32"/>
          <w:szCs w:val="32"/>
          <w:lang w:val="en-US" w:eastAsia="zh-CN"/>
        </w:rPr>
        <w:t>2024</w:t>
      </w:r>
      <w:r>
        <w:rPr>
          <w:rFonts w:hint="eastAsia" w:ascii="仿宋_GB2312" w:hAnsi="CIDFont+F6" w:eastAsia="仿宋_GB2312"/>
          <w:color w:val="000000"/>
          <w:sz w:val="32"/>
          <w:szCs w:val="32"/>
        </w:rPr>
        <w:t xml:space="preserve">年  </w:t>
      </w:r>
      <w:r>
        <w:rPr>
          <w:rFonts w:hint="eastAsia" w:ascii="仿宋_GB2312" w:hAnsi="CIDFont+F6" w:eastAsia="仿宋_GB2312"/>
          <w:color w:val="000000"/>
          <w:sz w:val="32"/>
          <w:szCs w:val="32"/>
          <w:lang w:val="en-US" w:eastAsia="zh-CN"/>
        </w:rPr>
        <w:t>3</w:t>
      </w:r>
      <w:r>
        <w:rPr>
          <w:rFonts w:hint="eastAsia" w:ascii="仿宋_GB2312" w:hAnsi="CIDFont+F6" w:eastAsia="仿宋_GB2312"/>
          <w:color w:val="000000"/>
          <w:sz w:val="32"/>
          <w:szCs w:val="32"/>
        </w:rPr>
        <w:t xml:space="preserve">月 </w:t>
      </w:r>
      <w:r>
        <w:rPr>
          <w:rFonts w:hint="eastAsia" w:ascii="仿宋_GB2312" w:hAnsi="CIDFont+F6" w:eastAsia="仿宋_GB2312"/>
          <w:color w:val="000000"/>
          <w:sz w:val="32"/>
          <w:szCs w:val="32"/>
          <w:lang w:val="en-US" w:eastAsia="zh-CN"/>
        </w:rPr>
        <w:t>19</w:t>
      </w:r>
      <w:r>
        <w:rPr>
          <w:rFonts w:hint="eastAsia" w:ascii="仿宋_GB2312" w:hAnsi="CIDFont+F6" w:eastAsia="仿宋_GB2312"/>
          <w:color w:val="000000"/>
          <w:sz w:val="32"/>
          <w:szCs w:val="32"/>
        </w:rPr>
        <w:t xml:space="preserve"> 日</w:t>
      </w:r>
    </w:p>
    <w:p>
      <w:pPr>
        <w:adjustRightInd w:val="0"/>
        <w:snapToGrid w:val="0"/>
        <w:spacing w:line="640" w:lineRule="exact"/>
        <w:ind w:firstLine="640" w:firstLineChars="200"/>
        <w:contextualSpacing/>
        <w:rPr>
          <w:rFonts w:ascii="仿宋_GB2312" w:hAnsi="宋体" w:eastAsia="仿宋_GB2312" w:cs="宋体"/>
          <w:kern w:val="0"/>
          <w:sz w:val="32"/>
          <w:szCs w:val="32"/>
        </w:rPr>
      </w:pPr>
    </w:p>
    <w:p>
      <w:pPr>
        <w:adjustRightInd w:val="0"/>
        <w:snapToGrid w:val="0"/>
        <w:spacing w:line="640" w:lineRule="exact"/>
        <w:ind w:firstLine="640" w:firstLineChars="200"/>
        <w:contextualSpacing/>
        <w:rPr>
          <w:rFonts w:hint="eastAsia" w:ascii="仿宋_GB2312" w:hAnsi="CIDFont+F6" w:eastAsia="仿宋_GB2312"/>
          <w:color w:val="000000"/>
          <w:sz w:val="32"/>
          <w:szCs w:val="32"/>
        </w:rPr>
      </w:pPr>
      <w:r>
        <w:rPr>
          <w:rFonts w:hint="eastAsia" w:ascii="仿宋_GB2312" w:hAnsi="CIDFont+F6" w:eastAsia="仿宋_GB2312"/>
          <w:color w:val="000000"/>
          <w:sz w:val="32"/>
          <w:szCs w:val="32"/>
        </w:rPr>
        <w:t>附件：1.中共积石山县委机构编制委员会办公室2024年部门预算公</w:t>
      </w: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561"/>
        </w:tabs>
        <w:bidi w:val="0"/>
        <w:jc w:val="left"/>
        <w:rPr>
          <w:rFonts w:hint="eastAsia"/>
          <w:lang w:val="en-US" w:eastAsia="zh-CN"/>
        </w:rPr>
        <w:sectPr>
          <w:pgSz w:w="11906" w:h="16838"/>
          <w:pgMar w:top="714" w:right="1134" w:bottom="1134" w:left="1134" w:header="851" w:footer="992" w:gutter="0"/>
          <w:cols w:space="425" w:num="1"/>
          <w:docGrid w:type="lines" w:linePitch="312" w:charSpace="0"/>
        </w:sectPr>
      </w:pPr>
      <w:r>
        <w:rPr>
          <w:rFonts w:hint="eastAsia"/>
          <w:lang w:val="en-US" w:eastAsia="zh-CN"/>
        </w:rPr>
        <w:tab/>
      </w:r>
      <w:bookmarkStart w:id="0" w:name="_GoBack"/>
      <w:bookmarkEnd w:id="0"/>
    </w:p>
    <w:p>
      <w:pPr>
        <w:tabs>
          <w:tab w:val="left" w:pos="1848"/>
        </w:tabs>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EFF8A"/>
    <w:multiLevelType w:val="singleLevel"/>
    <w:tmpl w:val="6CAEFF8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M2UxMTIyYjkzNTUzMzdiMzE4Y2IwZWYwZjdlZDA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1826A17"/>
    <w:rsid w:val="06155CFB"/>
    <w:rsid w:val="09616F12"/>
    <w:rsid w:val="0A56459C"/>
    <w:rsid w:val="0EE83C31"/>
    <w:rsid w:val="102641FF"/>
    <w:rsid w:val="10F863AD"/>
    <w:rsid w:val="113741D2"/>
    <w:rsid w:val="13070B2A"/>
    <w:rsid w:val="15134B60"/>
    <w:rsid w:val="17EF6E0F"/>
    <w:rsid w:val="1D34261E"/>
    <w:rsid w:val="1F4629DA"/>
    <w:rsid w:val="257A518B"/>
    <w:rsid w:val="25D53E1D"/>
    <w:rsid w:val="27CE17BE"/>
    <w:rsid w:val="29E928DF"/>
    <w:rsid w:val="2D951F22"/>
    <w:rsid w:val="2EEE2746"/>
    <w:rsid w:val="31077AEF"/>
    <w:rsid w:val="31CF549D"/>
    <w:rsid w:val="382B0567"/>
    <w:rsid w:val="38DB3D3B"/>
    <w:rsid w:val="3C7F70D3"/>
    <w:rsid w:val="4DB82445"/>
    <w:rsid w:val="4F31425D"/>
    <w:rsid w:val="527E074E"/>
    <w:rsid w:val="579503FF"/>
    <w:rsid w:val="5ECC5D50"/>
    <w:rsid w:val="60535296"/>
    <w:rsid w:val="607F732C"/>
    <w:rsid w:val="636522D0"/>
    <w:rsid w:val="6634032D"/>
    <w:rsid w:val="666B5E4F"/>
    <w:rsid w:val="6A191562"/>
    <w:rsid w:val="6B657311"/>
    <w:rsid w:val="6CF671FE"/>
    <w:rsid w:val="72FD2525"/>
    <w:rsid w:val="7394437D"/>
    <w:rsid w:val="75575F1C"/>
    <w:rsid w:val="7A8F7F06"/>
    <w:rsid w:val="7B4655EC"/>
    <w:rsid w:val="7C18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pPr>
      <w:jc w:val="left"/>
    </w:pPr>
  </w:style>
  <w:style w:type="paragraph" w:styleId="4">
    <w:name w:val="Balloon Text"/>
    <w:basedOn w:val="1"/>
    <w:link w:val="15"/>
    <w:autoRedefine/>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qFormat/>
    <w:uiPriority w:val="0"/>
    <w:rPr>
      <w:b/>
      <w:bCs/>
    </w:rPr>
  </w:style>
  <w:style w:type="character" w:styleId="10">
    <w:name w:val="line number"/>
    <w:autoRedefine/>
    <w:qFormat/>
    <w:uiPriority w:val="0"/>
  </w:style>
  <w:style w:type="character" w:styleId="11">
    <w:name w:val="annotation reference"/>
    <w:autoRedefine/>
    <w:qFormat/>
    <w:uiPriority w:val="0"/>
    <w:rPr>
      <w:sz w:val="21"/>
      <w:szCs w:val="21"/>
    </w:rPr>
  </w:style>
  <w:style w:type="character" w:customStyle="1" w:styleId="12">
    <w:name w:val="页脚 Char"/>
    <w:link w:val="5"/>
    <w:autoRedefine/>
    <w:qFormat/>
    <w:uiPriority w:val="0"/>
    <w:rPr>
      <w:sz w:val="18"/>
      <w:szCs w:val="18"/>
    </w:rPr>
  </w:style>
  <w:style w:type="character" w:customStyle="1" w:styleId="13">
    <w:name w:val="页眉 Char"/>
    <w:link w:val="6"/>
    <w:autoRedefine/>
    <w:qFormat/>
    <w:uiPriority w:val="0"/>
    <w:rPr>
      <w:sz w:val="18"/>
      <w:szCs w:val="18"/>
    </w:rPr>
  </w:style>
  <w:style w:type="paragraph" w:styleId="14">
    <w:name w:val="List Paragraph"/>
    <w:basedOn w:val="1"/>
    <w:autoRedefine/>
    <w:qFormat/>
    <w:uiPriority w:val="0"/>
    <w:pPr>
      <w:ind w:firstLine="420" w:firstLineChars="200"/>
    </w:pPr>
  </w:style>
  <w:style w:type="character" w:customStyle="1" w:styleId="15">
    <w:name w:val="批注框文本 Char"/>
    <w:link w:val="4"/>
    <w:autoRedefine/>
    <w:qFormat/>
    <w:uiPriority w:val="0"/>
    <w:rPr>
      <w:kern w:val="2"/>
      <w:sz w:val="18"/>
      <w:szCs w:val="18"/>
    </w:rPr>
  </w:style>
  <w:style w:type="character" w:customStyle="1" w:styleId="16">
    <w:name w:val="标题 1 Char"/>
    <w:link w:val="2"/>
    <w:autoRedefine/>
    <w:qFormat/>
    <w:uiPriority w:val="0"/>
    <w:rPr>
      <w:rFonts w:ascii="Times New Roman" w:hAnsi="Times New Roman"/>
      <w:b/>
      <w:bCs/>
      <w:kern w:val="44"/>
      <w:sz w:val="44"/>
      <w:szCs w:val="44"/>
    </w:rPr>
  </w:style>
  <w:style w:type="paragraph" w:customStyle="1" w:styleId="17">
    <w:name w:val="TOC Heading"/>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
    <w:name w:val="批注文字 Char"/>
    <w:link w:val="3"/>
    <w:autoRedefine/>
    <w:qFormat/>
    <w:uiPriority w:val="0"/>
    <w:rPr>
      <w:kern w:val="2"/>
      <w:sz w:val="21"/>
      <w:szCs w:val="22"/>
    </w:rPr>
  </w:style>
  <w:style w:type="character" w:customStyle="1" w:styleId="19">
    <w:name w:val="批注主题 Char"/>
    <w:link w:val="7"/>
    <w:autoRedefine/>
    <w:qFormat/>
    <w:uiPriority w:val="0"/>
    <w:rPr>
      <w:b/>
      <w:bCs/>
      <w:kern w:val="2"/>
      <w:sz w:val="21"/>
      <w:szCs w:val="22"/>
    </w:rPr>
  </w:style>
  <w:style w:type="character" w:customStyle="1" w:styleId="20">
    <w:name w:val="fontstyle01"/>
    <w:autoRedefine/>
    <w:qFormat/>
    <w:uiPriority w:val="0"/>
    <w:rPr>
      <w:rFonts w:hint="eastAsia" w:ascii="仿宋_GB2312" w:eastAsia="仿宋_GB2312"/>
      <w:color w:val="000000"/>
      <w:sz w:val="32"/>
      <w:szCs w:val="32"/>
    </w:rPr>
  </w:style>
  <w:style w:type="character" w:customStyle="1" w:styleId="21">
    <w:name w:val="fontstyle21"/>
    <w:autoRedefine/>
    <w:qFormat/>
    <w:uiPriority w:val="0"/>
    <w:rPr>
      <w:rFonts w:hint="default" w:ascii="TimesNewRomanPSMT" w:hAnsi="TimesNewRomanPSMT"/>
      <w:color w:val="000000"/>
      <w:sz w:val="32"/>
      <w:szCs w:val="32"/>
    </w:rPr>
  </w:style>
  <w:style w:type="character" w:customStyle="1" w:styleId="22">
    <w:name w:val="fontstyle11"/>
    <w:autoRedefine/>
    <w:qFormat/>
    <w:uiPriority w:val="0"/>
    <w:rPr>
      <w:rFonts w:hint="eastAsia" w:ascii="仿宋_GB2312" w:eastAsia="仿宋_GB2312"/>
      <w:color w:val="000000"/>
      <w:sz w:val="32"/>
      <w:szCs w:val="32"/>
    </w:rPr>
  </w:style>
  <w:style w:type="character" w:customStyle="1" w:styleId="23">
    <w:name w:val="fontstyle31"/>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30</Pages>
  <Words>1440</Words>
  <Characters>8209</Characters>
  <Lines>68</Lines>
  <Paragraphs>19</Paragraphs>
  <TotalTime>93</TotalTime>
  <ScaleCrop>false</ScaleCrop>
  <LinksUpToDate>false</LinksUpToDate>
  <CharactersWithSpaces>9630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历经沧桑</cp:lastModifiedBy>
  <cp:lastPrinted>2024-03-20T00:55:00Z</cp:lastPrinted>
  <dcterms:modified xsi:type="dcterms:W3CDTF">2024-03-20T01:12:56Z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DA566D0A87144649B7D455DDC1FFC44B_13</vt:lpwstr>
  </property>
</Properties>
</file>