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铺川乡人民政府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2024年单位预算公开情况说明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部门/单位基本概况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2024年部门/单位预算情况说明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2024年部门（单位）预算公开表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二、部门/单位收入总体情况表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三、部门/单位支出总体情况表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、部门/单位整体支出绩效目标表和项目支出绩效目标表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一、部门/单位职责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按编制部门批复“三定”方案编写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按编制部门批复“三定”方案编写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按编制部门批复“三定”方案编写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按编制部门批复“三定”方案编写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三、部门/单位收支总体情况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按照预算管理有关规定，2024年部门（单位）收支包括机关预算和直属单位预算在内的汇总情况。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718.7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万元。按照综合预算的原则，部门（单位）所有收入和支出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均纳入部门预算管理。收入包括：一般公共预算拨款收入；支出包括：一般公共服务支出、社会保障和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就业支出、卫生健康支出、住房保障支出、其他支出。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718.7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万元（详见部门/单位预算公开表1,2）。包括：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718.7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718.7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万元（详见部门/单位预算公开表3）。</w:t>
      </w:r>
      <w:r>
        <w:rPr>
          <w:rStyle w:val="21"/>
          <w:rFonts w:hint="default" w:hAnsi="仿宋"/>
        </w:rPr>
        <w:t>其中：基本支出</w:t>
      </w:r>
      <w:r>
        <w:rPr>
          <w:rStyle w:val="22"/>
          <w:rFonts w:hint="eastAsia" w:ascii="仿宋_GB2312" w:hAnsi="仿宋" w:eastAsia="仿宋_GB2312"/>
          <w:lang w:val="en-US" w:eastAsia="zh-CN"/>
        </w:rPr>
        <w:t>718.7</w:t>
      </w:r>
      <w:r>
        <w:rPr>
          <w:rStyle w:val="21"/>
          <w:rFonts w:hint="default" w:hAnsi="仿宋"/>
        </w:rPr>
        <w:t>万元， 占</w:t>
      </w:r>
      <w:r>
        <w:rPr>
          <w:rStyle w:val="21"/>
          <w:rFonts w:hint="eastAsia" w:hAnsi="仿宋" w:eastAsia="仿宋_GB2312"/>
          <w:lang w:val="en-US" w:eastAsia="zh-CN"/>
        </w:rPr>
        <w:t>100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 xml:space="preserve">； 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2"/>
          <w:rFonts w:hint="eastAsia" w:ascii="仿宋_GB2312" w:hAnsi="仿宋" w:eastAsia="仿宋_GB2312"/>
        </w:rPr>
        <w:t xml:space="preserve">2024 </w:t>
      </w:r>
      <w:r>
        <w:rPr>
          <w:rStyle w:val="21"/>
          <w:rFonts w:hint="default" w:hAnsi="仿宋"/>
        </w:rPr>
        <w:t>年一般公共预算当年支出</w:t>
      </w:r>
      <w:r>
        <w:rPr>
          <w:rStyle w:val="22"/>
          <w:rFonts w:hint="eastAsia" w:ascii="仿宋_GB2312" w:hAnsi="仿宋" w:eastAsia="仿宋_GB2312"/>
          <w:lang w:val="en-US" w:eastAsia="zh-CN"/>
        </w:rPr>
        <w:t>718.7</w:t>
      </w:r>
      <w:r>
        <w:rPr>
          <w:rStyle w:val="21"/>
          <w:rFonts w:hint="default" w:hAnsi="仿宋"/>
        </w:rPr>
        <w:t>万元，包括：一般公共服务支出</w:t>
      </w:r>
      <w:r>
        <w:rPr>
          <w:rStyle w:val="22"/>
          <w:rFonts w:hint="eastAsia" w:ascii="仿宋_GB2312" w:hAnsi="仿宋" w:eastAsia="仿宋_GB2312"/>
          <w:lang w:val="en-US" w:eastAsia="zh-CN"/>
        </w:rPr>
        <w:t>584.17</w:t>
      </w:r>
      <w:r>
        <w:rPr>
          <w:rStyle w:val="21"/>
          <w:rFonts w:hint="default" w:hAnsi="仿宋"/>
        </w:rPr>
        <w:t>万元、社会保障和就业支出</w:t>
      </w:r>
      <w:r>
        <w:rPr>
          <w:rStyle w:val="22"/>
          <w:rFonts w:hint="eastAsia" w:ascii="仿宋_GB2312" w:hAnsi="仿宋" w:eastAsia="仿宋_GB2312"/>
        </w:rPr>
        <w:t xml:space="preserve"> </w:t>
      </w:r>
      <w:r>
        <w:rPr>
          <w:rStyle w:val="22"/>
          <w:rFonts w:hint="eastAsia" w:ascii="仿宋_GB2312" w:hAnsi="仿宋" w:eastAsia="仿宋_GB2312"/>
          <w:lang w:val="en-US" w:eastAsia="zh-CN"/>
        </w:rPr>
        <w:t>88.09</w:t>
      </w:r>
      <w:r>
        <w:rPr>
          <w:rStyle w:val="21"/>
          <w:rFonts w:hint="default" w:hAnsi="仿宋"/>
        </w:rPr>
        <w:t>万元、其他支出</w:t>
      </w:r>
      <w:r>
        <w:rPr>
          <w:rStyle w:val="22"/>
          <w:rFonts w:hint="eastAsia" w:ascii="仿宋_GB2312" w:hAnsi="仿宋" w:eastAsia="仿宋_GB2312"/>
          <w:lang w:val="en-US" w:eastAsia="zh-CN"/>
        </w:rPr>
        <w:t>46.43</w:t>
      </w:r>
      <w:r>
        <w:rPr>
          <w:rStyle w:val="21"/>
          <w:rFonts w:hint="default" w:hAnsi="仿宋"/>
        </w:rPr>
        <w:t>万元。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（详见部门（单位）预算公开表4,5,6,7）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718.7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12.5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1.8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人员经费增加。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656.94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代缴社会保险费 、其他对个人和家庭的补助等。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61.76</w:t>
      </w:r>
      <w:r>
        <w:rPr>
          <w:rFonts w:hint="eastAsia" w:ascii="仿宋_GB2312" w:hAnsi="仿宋" w:eastAsia="仿宋_GB2312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584.17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2.社会保障和就业支出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88.09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.卫生健康支出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0.48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4.住房保障支出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45.96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五、部门（单位）一般公共预算财政拨款“三公”经费、培训费、会议费等情况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。。</w:t>
      </w:r>
    </w:p>
    <w:p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2024年，部门（单位）政府采购预算总额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2024年，部门（单位）面向中小企业预留政府采购项目预算金额  万元，小微企业预留政府采购项目预算金额  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489.32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2181</w:t>
      </w:r>
      <w:r>
        <w:rPr>
          <w:rFonts w:hint="eastAsia" w:ascii="仿宋_GB2312" w:hAnsi="仿宋" w:eastAsia="仿宋_GB2312"/>
          <w:sz w:val="32"/>
          <w:szCs w:val="32"/>
        </w:rPr>
        <w:t xml:space="preserve">平方米，价值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139.76</w:t>
      </w:r>
      <w:r>
        <w:rPr>
          <w:rFonts w:hint="eastAsia" w:ascii="仿宋_GB2312" w:hAnsi="仿宋" w:eastAsia="仿宋_GB2312"/>
          <w:sz w:val="32"/>
          <w:szCs w:val="32"/>
        </w:rPr>
        <w:t>万元。预算部门（单位）共有公务用车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单价20万元以上的设备。2024年拟采购固定资产约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2024年未安排政府性基金预算支出，未安排预算，政府性基金预算支出情况表为空表。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非税收入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主要为利息收入。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没有一般公共预算的项目支出预算，则年初预算未安排项目支出，无重点项目说明。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   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。开展1-9月绩效运行监控项目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个，占本单位项目的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。绩效运行监控在部门内部通报整改情况：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个，其中，部门（单位）整体支出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%。绩效自评结果随部门决算报送财政和随决算公开情况：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已公开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%。同时对政策和项目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资金管理作出调整的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二级指标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个；</w:t>
      </w:r>
      <w:r>
        <w:rPr>
          <w:rFonts w:hint="eastAsia" w:ascii="仿宋_GB2312" w:hAnsi="仿宋" w:eastAsia="仿宋_GB2312"/>
          <w:sz w:val="32"/>
          <w:szCs w:val="32"/>
        </w:rPr>
        <w:t>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……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（请部门/单位对编制中涉及的专业名词进行补充解释）</w:t>
      </w: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96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铺川乡人民政府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铺川乡人民政府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铺川乡人民政府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spacing w:line="360" w:lineRule="exact"/>
        <w:jc w:val="center"/>
        <w:rPr>
          <w:rFonts w:ascii="宋体" w:hAnsi="宋体"/>
          <w:b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附件1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tbl>
      <w:tblPr>
        <w:tblW w:w="10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627"/>
        <w:gridCol w:w="3677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部门收支总体情况表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5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一、一般公共预算财政拨款收入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二、外交支出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三、国有资本经营预算收入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三、国防支出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四、教育专户核算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四、公共安全支出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五、事业收入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五、教育支出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六、上级补助收入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六、科学技术支出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七、附属单位上缴收入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七、文化旅游体育与传媒支出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八、经营收入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八、社会保障和就业支出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九、其他收入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九、社会保险基金支出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十、卫生健康支出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十一、节能环保支出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十二、城乡社区支出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十三、农林水支出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十四、交通运输支出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十五、资源勘探工业信息等支出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十六、商业服务业等支出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十七、金融支出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十八、援助其他地区支出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十九、自然资源海洋气象等支出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二十、住房保障支出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二十一、粮油物资储备支出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二十二、国有资本经营预算支出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二十三、灾害防治及应急管理支出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二十四、预备费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二十五、其他支出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二十六、转移性支出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二十七、债务还本支出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二十八、债务付息支出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二十九、债务发行费用支出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三十、抗疫特别国债还本支出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十、上年结转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三十一、年终结转结余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十一、上年结余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</w:tr>
    </w:tbl>
    <w:p>
      <w:pPr>
        <w:ind w:firstLine="8820" w:firstLineChars="4900"/>
        <w:jc w:val="both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71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3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部门收入总体情况表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一、一般公共预算财政拨款收入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二、政府性基金预算财政拨款收入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三、国有资本经营预算收入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四、教育专户核算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五、事业收入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六、上级补助收入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七、附属单位上缴收入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八、经营收入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九、其他收入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本年收入合计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十、上年结转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十一、上年结余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收入合计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备注：无内容应公开空表并说明情况。</w:t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p>
      <w:pPr>
        <w:rPr>
          <w:rFonts w:ascii="仿宋_GB2312" w:hAnsi="微软雅黑" w:eastAsia="仿宋_GB2312"/>
          <w:sz w:val="18"/>
          <w:szCs w:val="18"/>
        </w:rPr>
      </w:pPr>
    </w:p>
    <w:tbl>
      <w:tblPr>
        <w:tblW w:w="10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1808"/>
        <w:gridCol w:w="1644"/>
        <w:gridCol w:w="1596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部门支出总体情况表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功能分类科目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支出合计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W w:w="105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2001"/>
        <w:gridCol w:w="3823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5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一、本年收入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一、本年支出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（一）一般公共预算财政拨款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（一）一般公共服务支出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（二）政府性基金预算财政拨款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（二）外交支出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（三）国有资本经营预算财政拨款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（三）国防支出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（四）公共安全支出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（五）教育支出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（六）科学技术支出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（七）文化体育与传媒支出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（八）社会保障和就业支出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（九）社会保险基金支出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（十）医疗卫生与计划生育支出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（十一）节能环保支出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（十二）城乡社区支出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（十三）农林水支出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（十四）交通运输支出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（十五）资源勘探信息等支出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（十六）商业服务业等支出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（十七）金融支出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（十八）援助其他地区支出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（十九）国土海洋气象等支出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（二十）住房保障支出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（二十一）粮油物资储备支出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（二十二）国有资本经营预算支出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（二十三）灾害防治及应急管理支出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（二十四）预备费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（二十五）其他支出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（二十六）债务还本支出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（二十七）债务付息支出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（二十八）债务发行费用支出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Cs/>
          <w:color w:val="000000"/>
          <w:kern w:val="0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W w:w="15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1253"/>
        <w:gridCol w:w="1204"/>
        <w:gridCol w:w="1204"/>
        <w:gridCol w:w="1302"/>
        <w:gridCol w:w="1155"/>
        <w:gridCol w:w="1285"/>
        <w:gridCol w:w="1204"/>
        <w:gridCol w:w="1090"/>
        <w:gridCol w:w="1171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财政拨款支出表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一般公共预算支出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政府性基金预算支出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国有资本经营预算支出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积石山县铺川乡人民政府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积石山县铺川乡人民政府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W w:w="10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092"/>
        <w:gridCol w:w="1839"/>
        <w:gridCol w:w="1920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功能分类科目</w:t>
            </w:r>
          </w:p>
        </w:tc>
        <w:tc>
          <w:tcPr>
            <w:tcW w:w="5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718.703977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584.172757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584.172757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584.172757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584.172757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584.172757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584.172757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88.093956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88.093956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88.093956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88.093956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88.093956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88.093956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0.4752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0.4752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0.4752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0.4752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0.1728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0.1728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0.3024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0.3024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45.962064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45.962064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45.962064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45.962064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45.962064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45.962064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p>
      <w:pPr>
        <w:rPr>
          <w:rFonts w:ascii="仿宋_GB2312" w:hAnsi="微软雅黑" w:eastAsia="仿宋_GB2312"/>
          <w:sz w:val="18"/>
          <w:szCs w:val="18"/>
        </w:rPr>
      </w:pPr>
    </w:p>
    <w:tbl>
      <w:tblPr>
        <w:tblW w:w="10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855"/>
        <w:gridCol w:w="1725"/>
        <w:gridCol w:w="1807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经济分类科目</w:t>
            </w:r>
          </w:p>
        </w:tc>
        <w:tc>
          <w:tcPr>
            <w:tcW w:w="5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718.70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656.94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656.94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656.94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160.87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160.87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254.07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254.07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100.96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100.96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公务员医疗补助缴费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40.61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40.61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32.83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32.83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职工基本医疗保险缴费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17.91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17.91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61.76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30299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21.76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30206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30213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维修（护）费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512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p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pPr w:leftFromText="180" w:rightFromText="180" w:vertAnchor="text" w:horzAnchor="page" w:tblpX="773" w:tblpY="564"/>
        <w:tblOverlap w:val="never"/>
        <w:tblW w:w="15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0"/>
        <w:gridCol w:w="1708"/>
        <w:gridCol w:w="1549"/>
        <w:gridCol w:w="1171"/>
        <w:gridCol w:w="1171"/>
        <w:gridCol w:w="1171"/>
        <w:gridCol w:w="1448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一般公共预算“三公”经费、会议费、培训费支出情况表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公务用车购置和运行费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公务用车购置费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公务用车运行费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W w:w="10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6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部门/单位整体支出绩效目标表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9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25"/>
        <w:gridCol w:w="846"/>
        <w:gridCol w:w="817"/>
        <w:gridCol w:w="1756"/>
        <w:gridCol w:w="1519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铺川</w:t>
            </w: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1.贯彻执行党和国家的各项方针、政策、法律、法规；</w:t>
            </w:r>
          </w:p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2.制定并执行本行政区域内经济和社会发展规划、计划；</w:t>
            </w:r>
          </w:p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3.组织和实施乡村振兴相应工作；</w:t>
            </w:r>
          </w:p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4.完成上级党委、政府交办的其他工作</w:t>
            </w:r>
          </w:p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5.组织开展好行政管理和服务工作。</w:t>
            </w:r>
          </w:p>
          <w:p>
            <w:pPr>
              <w:widowControl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6.完成灾后重建工作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7.组织完成春耕工作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 算 情 况（万元）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589.36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734.51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145.15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734.51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175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基本支出预算执行率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财务管理制度健全性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资产管理规范性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履职效果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部门履职目标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贯彻执行党和国家的各项方针、政策、法律、法规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完全贯彻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社会影响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加强惠民政策宣传，提升基层社会治理能力现代化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服务对象满意度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群众满意度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能力建设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长效管理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提升基层服务能力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人力资源建设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提升基层队伍建设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档案管理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档案管理</w:t>
            </w:r>
          </w:p>
        </w:tc>
        <w:tc>
          <w:tcPr>
            <w:tcW w:w="3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规范</w:t>
            </w:r>
          </w:p>
        </w:tc>
      </w:tr>
    </w:tbl>
    <w:p/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9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566"/>
        <w:gridCol w:w="1566"/>
        <w:gridCol w:w="966"/>
        <w:gridCol w:w="1116"/>
        <w:gridCol w:w="1025"/>
        <w:gridCol w:w="1213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一级项目名称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积石山县</w:t>
            </w: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铺川</w:t>
            </w: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乡人民政府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二级项目名称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铺川</w:t>
            </w: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乡人民政府工作经费项目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项目分类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申报属性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资金用途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铺川</w:t>
            </w: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乡人民政府工作经费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项目开始日期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项目完成日期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基本情况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铺川</w:t>
            </w: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乡人民政府工作经费。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项目立项必要性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为了保障乡政府各项工作顺利完成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保障项目实施的制度措施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项目实施计划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2024年计划使用经费支出完成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组织实施单位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积石山县</w:t>
            </w: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铺川</w:t>
            </w: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监督管理单位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积石山县</w:t>
            </w: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铺川</w:t>
            </w: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项目实施单位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积石山县</w:t>
            </w:r>
            <w:r>
              <w:rPr>
                <w:rFonts w:hint="eastAsia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铺川</w:t>
            </w: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政策依据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财务会计制度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其他依据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需要说明的其他情况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年度绩效目标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用于乡政府各项工作费用，提升乡政府经济发展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分解指标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指标值类型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指标值内容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成本控制率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各项费用支付完成率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费用支付合规性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定性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合规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费用支付及时性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定性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带动县域经济发展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定性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带动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保障机构正常运行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定性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有效保障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干部职工满意度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招商企业满意度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25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思源黑体" w:hAnsi="思源黑体" w:eastAsia="思源黑体" w:cs="思源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TlhMjE0NzI3OTQyODgzMWJmM2YxNjIzZjg4YjA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826A17"/>
    <w:rsid w:val="06155CFB"/>
    <w:rsid w:val="09616F12"/>
    <w:rsid w:val="0A56459C"/>
    <w:rsid w:val="0EE83C31"/>
    <w:rsid w:val="10F863AD"/>
    <w:rsid w:val="113741D2"/>
    <w:rsid w:val="13070B2A"/>
    <w:rsid w:val="19BE3023"/>
    <w:rsid w:val="1D34261E"/>
    <w:rsid w:val="1E1F2EFF"/>
    <w:rsid w:val="1E2D2B3D"/>
    <w:rsid w:val="1F4629DA"/>
    <w:rsid w:val="20FA2A3D"/>
    <w:rsid w:val="23146B39"/>
    <w:rsid w:val="257A518B"/>
    <w:rsid w:val="25D53E1D"/>
    <w:rsid w:val="27CE17BE"/>
    <w:rsid w:val="29E928DF"/>
    <w:rsid w:val="2BB772D9"/>
    <w:rsid w:val="2DCE1547"/>
    <w:rsid w:val="2EEE2746"/>
    <w:rsid w:val="31077AEF"/>
    <w:rsid w:val="31CF549D"/>
    <w:rsid w:val="382B0567"/>
    <w:rsid w:val="38DB3D3B"/>
    <w:rsid w:val="3C4F1ACE"/>
    <w:rsid w:val="3C7F70D3"/>
    <w:rsid w:val="4BE64249"/>
    <w:rsid w:val="4DB82445"/>
    <w:rsid w:val="4F31425D"/>
    <w:rsid w:val="527E074E"/>
    <w:rsid w:val="579503FF"/>
    <w:rsid w:val="5ECC5D50"/>
    <w:rsid w:val="5FAB3288"/>
    <w:rsid w:val="60535296"/>
    <w:rsid w:val="607F732C"/>
    <w:rsid w:val="636522D0"/>
    <w:rsid w:val="666B5E4F"/>
    <w:rsid w:val="6B657311"/>
    <w:rsid w:val="72FD2525"/>
    <w:rsid w:val="7394437D"/>
    <w:rsid w:val="75575F1C"/>
    <w:rsid w:val="7A8F7F06"/>
    <w:rsid w:val="7C183F2B"/>
    <w:rsid w:val="7E3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4">
    <w:name w:val="annotation text"/>
    <w:basedOn w:val="1"/>
    <w:link w:val="19"/>
    <w:autoRedefine/>
    <w:qFormat/>
    <w:uiPriority w:val="0"/>
    <w:pPr>
      <w:jc w:val="left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autoRedefine/>
    <w:qFormat/>
    <w:uiPriority w:val="0"/>
    <w:rPr>
      <w:b/>
      <w:bCs/>
    </w:rPr>
  </w:style>
  <w:style w:type="character" w:styleId="11">
    <w:name w:val="line number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页脚 Char"/>
    <w:link w:val="6"/>
    <w:autoRedefine/>
    <w:qFormat/>
    <w:uiPriority w:val="0"/>
    <w:rPr>
      <w:sz w:val="18"/>
      <w:szCs w:val="18"/>
    </w:rPr>
  </w:style>
  <w:style w:type="character" w:customStyle="1" w:styleId="14">
    <w:name w:val="页眉 Char"/>
    <w:link w:val="7"/>
    <w:autoRedefine/>
    <w:qFormat/>
    <w:uiPriority w:val="0"/>
    <w:rPr>
      <w:sz w:val="18"/>
      <w:szCs w:val="18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link w:val="5"/>
    <w:autoRedefine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3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"/>
    <w:basedOn w:val="3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4"/>
    <w:autoRedefine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autoRedefine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5">
    <w:name w:val="font11"/>
    <w:basedOn w:val="10"/>
    <w:autoRedefine/>
    <w:qFormat/>
    <w:uiPriority w:val="0"/>
    <w:rPr>
      <w:rFonts w:hint="default" w:ascii="思源黑体" w:hAnsi="思源黑体" w:eastAsia="思源黑体" w:cs="思源黑体"/>
      <w:color w:val="000000"/>
      <w:sz w:val="15"/>
      <w:szCs w:val="15"/>
      <w:u w:val="none"/>
    </w:rPr>
  </w:style>
  <w:style w:type="character" w:customStyle="1" w:styleId="26">
    <w:name w:val="font21"/>
    <w:basedOn w:val="10"/>
    <w:autoRedefine/>
    <w:qFormat/>
    <w:uiPriority w:val="0"/>
    <w:rPr>
      <w:rFonts w:hint="default" w:ascii="思源黑体" w:hAnsi="思源黑体" w:eastAsia="思源黑体" w:cs="思源黑体"/>
      <w:color w:val="000000"/>
      <w:sz w:val="24"/>
      <w:szCs w:val="24"/>
      <w:u w:val="none"/>
    </w:rPr>
  </w:style>
  <w:style w:type="character" w:customStyle="1" w:styleId="27">
    <w:name w:val="font41"/>
    <w:basedOn w:val="10"/>
    <w:autoRedefine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23</TotalTime>
  <ScaleCrop>false</ScaleCrop>
  <LinksUpToDate>false</LinksUpToDate>
  <CharactersWithSpaces>9630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Administrator</cp:lastModifiedBy>
  <cp:lastPrinted>2024-02-18T02:23:00Z</cp:lastPrinted>
  <dcterms:modified xsi:type="dcterms:W3CDTF">2024-04-02T03:10:38Z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4746AA2B63644A919A7677ADD6665D0C</vt:lpwstr>
  </property>
</Properties>
</file>