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附件</w:t>
      </w:r>
      <w:r>
        <w:rPr>
          <w:rFonts w:ascii="宋体" w:hAnsi="宋体" w:cs="宋体"/>
          <w:b/>
          <w:bCs/>
          <w:kern w:val="0"/>
          <w:sz w:val="24"/>
          <w:szCs w:val="24"/>
        </w:rPr>
        <w:t>1</w:t>
      </w: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spacing w:line="660" w:lineRule="exact"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铺川乡人民政府</w:t>
      </w: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  <w:sectPr>
          <w:footerReference r:id="rId3" w:type="default"/>
          <w:pgSz w:w="11906" w:h="16838"/>
          <w:pgMar w:top="1134" w:right="1134" w:bottom="1440" w:left="1276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 xml:space="preserve">2024年单位预算公开情况说明 </w:t>
      </w: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目  录</w:t>
      </w: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spacing w:line="30" w:lineRule="exact"/>
        <w:jc w:val="center"/>
        <w:rPr>
          <w:rFonts w:ascii="黑体" w:eastAsia="黑体"/>
          <w:color w:val="000000"/>
          <w:sz w:val="18"/>
          <w:szCs w:val="18"/>
        </w:rPr>
      </w:pPr>
    </w:p>
    <w:p>
      <w:pPr>
        <w:spacing w:line="560" w:lineRule="exact"/>
        <w:ind w:firstLine="602" w:firstLineChars="200"/>
        <w:jc w:val="left"/>
        <w:rPr>
          <w:rFonts w:ascii="仿宋_GB2312" w:hAnsi="仿宋" w:eastAsia="仿宋_GB2312"/>
          <w:b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第一部分 部门/单位基本概况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一、部门/单位职责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二、机构设置情况</w:t>
      </w:r>
    </w:p>
    <w:p>
      <w:pPr>
        <w:spacing w:line="560" w:lineRule="exact"/>
        <w:ind w:firstLine="602" w:firstLineChars="200"/>
        <w:jc w:val="left"/>
        <w:rPr>
          <w:rFonts w:ascii="仿宋_GB2312" w:hAnsi="仿宋" w:eastAsia="仿宋_GB2312"/>
          <w:b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第二部分 2024年部门/单位预算情况说明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一、收支总体情况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二、一般公共预算情况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三、一般公共预算财政拨款“三公”经费、培训费、会议费等情况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四、一般公共预算财政拨款机关运行经费情况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五、政府采购安排情况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六、国有资产占用情况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七、其他重要事项情况说明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八、预算绩效管理情况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九、名词解释</w:t>
      </w:r>
    </w:p>
    <w:p>
      <w:pPr>
        <w:spacing w:line="560" w:lineRule="exact"/>
        <w:ind w:firstLine="602" w:firstLineChars="200"/>
        <w:jc w:val="left"/>
        <w:rPr>
          <w:rFonts w:ascii="仿宋_GB2312" w:hAnsi="仿宋" w:eastAsia="仿宋_GB2312"/>
          <w:b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第三部分 2024年部门（单位）预算公开表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一、部门/单位收支总体情况表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二、部门/单位收入总体情况表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三、部门/单位支出总体情况表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四、财政拨款收支总体情况表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五、财政拨款支出表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六、一般公共预算支出情况表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七、一般公共预算基本支出情况表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pacing w:val="-2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八、</w:t>
      </w:r>
      <w:r>
        <w:rPr>
          <w:rFonts w:hint="eastAsia" w:ascii="仿宋_GB2312" w:hAnsi="仿宋" w:eastAsia="仿宋_GB2312"/>
          <w:color w:val="000000"/>
          <w:spacing w:val="-20"/>
          <w:sz w:val="30"/>
          <w:szCs w:val="30"/>
        </w:rPr>
        <w:t>一般公共预算财政拨款“三公”经费、会议费、培训费支出情况表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九、一般公共预算财政拨款机关运行经费表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十、政府性基金预算支出情况表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十</w:t>
      </w:r>
      <w:r>
        <w:rPr>
          <w:rFonts w:hint="eastAsia" w:ascii="仿宋_GB2312" w:hAnsi="仿宋" w:eastAsia="仿宋_GB2312"/>
          <w:color w:val="000000"/>
          <w:sz w:val="30"/>
          <w:szCs w:val="30"/>
          <w:lang w:val="en-US" w:eastAsia="zh-CN"/>
        </w:rPr>
        <w:t>一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、国有资本经营预算支出情况表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十</w:t>
      </w:r>
      <w:r>
        <w:rPr>
          <w:rFonts w:hint="eastAsia" w:ascii="仿宋_GB2312" w:hAnsi="仿宋" w:eastAsia="仿宋_GB2312"/>
          <w:color w:val="000000"/>
          <w:sz w:val="30"/>
          <w:szCs w:val="30"/>
          <w:lang w:val="en-US" w:eastAsia="zh-CN"/>
        </w:rPr>
        <w:t>二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、部门/单位整体支出绩效目标表和项目支出绩效目标表</w:t>
      </w:r>
    </w:p>
    <w:p>
      <w:pPr>
        <w:spacing w:line="660" w:lineRule="exact"/>
        <w:jc w:val="center"/>
        <w:rPr>
          <w:rFonts w:ascii="仿宋_GB2312" w:hAnsi="宋体" w:eastAsia="仿宋_GB2312" w:cs="宋体"/>
          <w:b/>
          <w:bCs/>
          <w:kern w:val="0"/>
          <w:sz w:val="44"/>
          <w:szCs w:val="44"/>
        </w:rPr>
      </w:pPr>
    </w:p>
    <w:p>
      <w:pPr>
        <w:spacing w:line="600" w:lineRule="exact"/>
        <w:ind w:firstLine="562" w:firstLineChars="200"/>
        <w:rPr>
          <w:rFonts w:ascii="仿宋_GB2312" w:hAnsi="仿宋" w:eastAsia="仿宋_GB2312" w:cs="宋体"/>
          <w:b/>
          <w:kern w:val="0"/>
          <w:sz w:val="28"/>
          <w:szCs w:val="28"/>
        </w:rPr>
        <w:sectPr>
          <w:footerReference r:id="rId4" w:type="default"/>
          <w:pgSz w:w="11906" w:h="16838"/>
          <w:pgMar w:top="1134" w:right="1134" w:bottom="1440" w:left="1276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spacing w:line="600" w:lineRule="exact"/>
        <w:ind w:firstLine="643" w:firstLineChars="200"/>
        <w:rPr>
          <w:rFonts w:ascii="仿宋_GB2312" w:hAnsi="黑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/>
          <w:kern w:val="0"/>
          <w:sz w:val="32"/>
          <w:szCs w:val="32"/>
        </w:rPr>
        <w:t>前言</w:t>
      </w:r>
    </w:p>
    <w:p>
      <w:pPr>
        <w:spacing w:line="60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按照《中华人民共和国预算法》《中华人民共和国预算法实施条例》以及</w:t>
      </w:r>
      <w:r>
        <w:rPr>
          <w:rFonts w:ascii="仿宋_GB2312" w:hAnsi="仿宋" w:eastAsia="仿宋_GB2312" w:cs="宋体"/>
          <w:kern w:val="0"/>
          <w:sz w:val="32"/>
          <w:szCs w:val="32"/>
        </w:rPr>
        <w:t>财政部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《地方预决算公开操作规程》《关于推进部门所属单位预算公开的指导意见》和《中共甘肃省委办公厅 甘肃省人民政府办公厅关于进一步推进预算公开工作的实施方案》要求，现将2024年部门预算公开如下：</w:t>
      </w:r>
    </w:p>
    <w:p>
      <w:pPr>
        <w:spacing w:line="60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一、部门/单位职责</w:t>
      </w:r>
    </w:p>
    <w:p>
      <w:pPr>
        <w:spacing w:line="60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按编制部门批复“三定”方案编写</w:t>
      </w:r>
    </w:p>
    <w:p>
      <w:pPr>
        <w:spacing w:line="60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二、机构设置情况</w:t>
      </w:r>
    </w:p>
    <w:p>
      <w:pPr>
        <w:spacing w:line="600" w:lineRule="exact"/>
        <w:ind w:firstLine="643" w:firstLineChars="200"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（一）机关内设机构</w:t>
      </w:r>
    </w:p>
    <w:p>
      <w:pPr>
        <w:spacing w:line="60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按编制部门批复“三定”方案编写</w:t>
      </w:r>
    </w:p>
    <w:p>
      <w:pPr>
        <w:spacing w:line="600" w:lineRule="exact"/>
        <w:ind w:firstLine="643" w:firstLineChars="200"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（二）参照公务员法管理单位</w:t>
      </w:r>
    </w:p>
    <w:p>
      <w:pPr>
        <w:spacing w:line="60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按编制部门批复“三定”方案编写</w:t>
      </w:r>
    </w:p>
    <w:p>
      <w:pPr>
        <w:spacing w:line="600" w:lineRule="exact"/>
        <w:ind w:firstLine="643" w:firstLineChars="200"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（三）直属事业单位</w:t>
      </w:r>
    </w:p>
    <w:p>
      <w:pPr>
        <w:spacing w:line="60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按编制部门批复“三定”方案编写</w:t>
      </w:r>
    </w:p>
    <w:p>
      <w:pPr>
        <w:spacing w:line="60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三、部门/单位收支总体情况</w:t>
      </w:r>
    </w:p>
    <w:p>
      <w:pPr>
        <w:spacing w:line="60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按照预算管理有关规定，2024年部门（单位）收支包括机关预算和直属单位预算在内的汇总情况。</w:t>
      </w:r>
    </w:p>
    <w:p>
      <w:pPr>
        <w:spacing w:line="60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2024年部门收支总预算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718.7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万元。按照综合预算的原则，部门（单位）所有收入和支出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均纳入部门预算管理。收入包括：一般公共预算拨款收入；支出包括：一般公共服务支出、社会保障和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就业支出、卫生健康支出、住房保障支出、其他支出。</w:t>
      </w:r>
    </w:p>
    <w:p>
      <w:pPr>
        <w:spacing w:line="600" w:lineRule="exact"/>
        <w:ind w:firstLine="643" w:firstLineChars="200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（一）收入预算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2024年收入预算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718.7</w:t>
      </w:r>
      <w:r>
        <w:rPr>
          <w:rFonts w:hint="eastAsia" w:ascii="仿宋_GB2312" w:hAnsi="仿宋" w:eastAsia="仿宋_GB2312"/>
          <w:sz w:val="32"/>
          <w:szCs w:val="32"/>
        </w:rPr>
        <w:t>万元（详见部门/单位预算公开表1,2）。包括：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一般公共预算收入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718.7</w:t>
      </w:r>
      <w:r>
        <w:rPr>
          <w:rFonts w:hint="eastAsia" w:ascii="仿宋_GB2312" w:hAnsi="仿宋" w:eastAsia="仿宋_GB2312"/>
          <w:sz w:val="32"/>
          <w:szCs w:val="32"/>
        </w:rPr>
        <w:t>万元，占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>%；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（二）支出预算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2024年支出预算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718.7</w:t>
      </w:r>
      <w:r>
        <w:rPr>
          <w:rFonts w:hint="eastAsia" w:ascii="仿宋_GB2312" w:hAnsi="仿宋" w:eastAsia="仿宋_GB2312"/>
          <w:sz w:val="32"/>
          <w:szCs w:val="32"/>
        </w:rPr>
        <w:t>万元（详见部门/单位预算公开表3）。</w:t>
      </w:r>
      <w:r>
        <w:rPr>
          <w:rStyle w:val="21"/>
          <w:rFonts w:hint="default" w:hAnsi="仿宋"/>
        </w:rPr>
        <w:t>其中：基本支出</w:t>
      </w:r>
      <w:r>
        <w:rPr>
          <w:rStyle w:val="22"/>
          <w:rFonts w:hint="eastAsia" w:ascii="仿宋_GB2312" w:hAnsi="仿宋" w:eastAsia="仿宋_GB2312"/>
          <w:lang w:val="en-US" w:eastAsia="zh-CN"/>
        </w:rPr>
        <w:t>718.7</w:t>
      </w:r>
      <w:r>
        <w:rPr>
          <w:rStyle w:val="21"/>
          <w:rFonts w:hint="default" w:hAnsi="仿宋"/>
        </w:rPr>
        <w:t>万元， 占</w:t>
      </w:r>
      <w:r>
        <w:rPr>
          <w:rStyle w:val="21"/>
          <w:rFonts w:hint="eastAsia" w:hAnsi="仿宋" w:eastAsia="仿宋_GB2312"/>
          <w:lang w:val="en-US" w:eastAsia="zh-CN"/>
        </w:rPr>
        <w:t>100</w:t>
      </w:r>
      <w:r>
        <w:rPr>
          <w:rStyle w:val="22"/>
          <w:rFonts w:hint="eastAsia" w:ascii="仿宋_GB2312" w:hAnsi="仿宋" w:eastAsia="仿宋_GB2312"/>
        </w:rPr>
        <w:t>%</w:t>
      </w:r>
      <w:r>
        <w:rPr>
          <w:rStyle w:val="21"/>
          <w:rFonts w:hint="default" w:hAnsi="仿宋"/>
        </w:rPr>
        <w:t xml:space="preserve">； 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四、一般公共预算情况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Style w:val="22"/>
          <w:rFonts w:hint="eastAsia" w:ascii="仿宋_GB2312" w:hAnsi="仿宋" w:eastAsia="仿宋_GB2312"/>
        </w:rPr>
        <w:t xml:space="preserve">2024 </w:t>
      </w:r>
      <w:r>
        <w:rPr>
          <w:rStyle w:val="21"/>
          <w:rFonts w:hint="default" w:hAnsi="仿宋"/>
        </w:rPr>
        <w:t>年一般公共预算当年支出</w:t>
      </w:r>
      <w:r>
        <w:rPr>
          <w:rStyle w:val="22"/>
          <w:rFonts w:hint="eastAsia" w:ascii="仿宋_GB2312" w:hAnsi="仿宋" w:eastAsia="仿宋_GB2312"/>
          <w:lang w:val="en-US" w:eastAsia="zh-CN"/>
        </w:rPr>
        <w:t>718.7</w:t>
      </w:r>
      <w:r>
        <w:rPr>
          <w:rStyle w:val="21"/>
          <w:rFonts w:hint="default" w:hAnsi="仿宋"/>
        </w:rPr>
        <w:t>万元，包括：一般公共服务支出</w:t>
      </w:r>
      <w:r>
        <w:rPr>
          <w:rStyle w:val="22"/>
          <w:rFonts w:hint="eastAsia" w:ascii="仿宋_GB2312" w:hAnsi="仿宋" w:eastAsia="仿宋_GB2312"/>
          <w:lang w:val="en-US" w:eastAsia="zh-CN"/>
        </w:rPr>
        <w:t>584.17</w:t>
      </w:r>
      <w:r>
        <w:rPr>
          <w:rStyle w:val="21"/>
          <w:rFonts w:hint="default" w:hAnsi="仿宋"/>
        </w:rPr>
        <w:t>万元、社会保障和就业支出</w:t>
      </w:r>
      <w:r>
        <w:rPr>
          <w:rStyle w:val="22"/>
          <w:rFonts w:hint="eastAsia" w:ascii="仿宋_GB2312" w:hAnsi="仿宋" w:eastAsia="仿宋_GB2312"/>
        </w:rPr>
        <w:t xml:space="preserve"> </w:t>
      </w:r>
      <w:r>
        <w:rPr>
          <w:rStyle w:val="22"/>
          <w:rFonts w:hint="eastAsia" w:ascii="仿宋_GB2312" w:hAnsi="仿宋" w:eastAsia="仿宋_GB2312"/>
          <w:lang w:val="en-US" w:eastAsia="zh-CN"/>
        </w:rPr>
        <w:t>88.09</w:t>
      </w:r>
      <w:r>
        <w:rPr>
          <w:rStyle w:val="21"/>
          <w:rFonts w:hint="default" w:hAnsi="仿宋"/>
        </w:rPr>
        <w:t>万元、其他支出</w:t>
      </w:r>
      <w:r>
        <w:rPr>
          <w:rStyle w:val="22"/>
          <w:rFonts w:hint="eastAsia" w:ascii="仿宋_GB2312" w:hAnsi="仿宋" w:eastAsia="仿宋_GB2312"/>
          <w:lang w:val="en-US" w:eastAsia="zh-CN"/>
        </w:rPr>
        <w:t>46.43</w:t>
      </w:r>
      <w:r>
        <w:rPr>
          <w:rStyle w:val="21"/>
          <w:rFonts w:hint="default" w:hAnsi="仿宋"/>
        </w:rPr>
        <w:t>万元。</w:t>
      </w:r>
      <w:r>
        <w:rPr>
          <w:rFonts w:hint="eastAsia" w:ascii="仿宋_GB2312" w:hAnsi="仿宋" w:eastAsia="仿宋_GB2312"/>
          <w:sz w:val="32"/>
          <w:szCs w:val="32"/>
        </w:rPr>
        <w:t>具体安排情况如下</w:t>
      </w:r>
      <w:r>
        <w:rPr>
          <w:rFonts w:hint="eastAsia" w:ascii="仿宋_GB2312" w:hAnsi="微软雅黑" w:eastAsia="仿宋_GB2312"/>
          <w:sz w:val="32"/>
          <w:szCs w:val="32"/>
        </w:rPr>
        <w:t>（详见部门（单位）预算公开表4,5,6,7）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（一）基本支出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2024年基本支出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718.7</w:t>
      </w:r>
      <w:r>
        <w:rPr>
          <w:rFonts w:hint="eastAsia" w:ascii="仿宋_GB2312" w:hAnsi="仿宋" w:eastAsia="仿宋_GB2312"/>
          <w:sz w:val="32"/>
          <w:szCs w:val="32"/>
        </w:rPr>
        <w:t>万元，比2023年预算增加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12.5</w:t>
      </w:r>
      <w:r>
        <w:rPr>
          <w:rFonts w:hint="eastAsia" w:ascii="仿宋_GB2312" w:hAnsi="仿宋" w:eastAsia="仿宋_GB2312"/>
          <w:sz w:val="32"/>
          <w:szCs w:val="32"/>
        </w:rPr>
        <w:t>万元，增长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1.8</w:t>
      </w:r>
      <w:r>
        <w:rPr>
          <w:rFonts w:hint="eastAsia" w:ascii="仿宋_GB2312" w:hAnsi="仿宋" w:eastAsia="仿宋_GB2312"/>
          <w:sz w:val="32"/>
          <w:szCs w:val="32"/>
        </w:rPr>
        <w:t>%，增长的主要原因是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人员经费增加。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其中：人员经费支出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656.94</w:t>
      </w:r>
      <w:r>
        <w:rPr>
          <w:rFonts w:hint="eastAsia" w:ascii="仿宋_GB2312" w:hAnsi="仿宋" w:eastAsia="仿宋_GB2312"/>
          <w:sz w:val="32"/>
          <w:szCs w:val="32"/>
        </w:rPr>
        <w:t>万元，主要包括：基本工资、津贴补贴、奖金、伙食补助费、绩效工资、机关事业单位基本养老保险缴费、职业年金缴费、职工基本医疗保险缴费、公务员医疗补助缴费、其他社会保障缴费、住房公积金、医疗费、其他工资福利支出、离休费、退休费、退职（役）费、抚恤金、生活补助、救济费、医疗费补助、助学金、奖励金、个人农业生产补贴、代缴社会保险费 、其他对个人和家庭的补助等。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公用经费支出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61.76</w:t>
      </w:r>
      <w:r>
        <w:rPr>
          <w:rFonts w:hint="eastAsia" w:ascii="仿宋_GB2312" w:hAnsi="仿宋" w:eastAsia="仿宋_GB2312"/>
          <w:sz w:val="32"/>
          <w:szCs w:val="32"/>
        </w:rPr>
        <w:t>万元，主要包括：办公费、印刷费、咨询费、手续费、水费、电费、邮电费、取暖费、物业管理费、差旅费、因公出国（境）费、维修（护）费、租赁费、会议费、培训费、公务接待费、专用材料费、被装购置费、专用燃料费、劳务费、委托业务费、工会经费、福利费、公务用车运行维护费、其他交通费用、税金及附加费用、其他商品和服务支出、办公设备购置、专用设备购置等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（三）支出功能分类说明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TimesNewRomanPS-BoldMT" w:eastAsia="仿宋_GB2312"/>
          <w:bCs/>
          <w:color w:val="000000"/>
          <w:sz w:val="32"/>
          <w:szCs w:val="32"/>
        </w:rPr>
        <w:t>1.</w:t>
      </w:r>
      <w:r>
        <w:rPr>
          <w:rFonts w:hint="eastAsia" w:ascii="仿宋_GB2312" w:eastAsia="仿宋_GB2312"/>
          <w:color w:val="000000"/>
          <w:sz w:val="32"/>
          <w:szCs w:val="32"/>
        </w:rPr>
        <w:t>一般公共服务</w:t>
      </w:r>
      <w:r>
        <w:rPr>
          <w:rFonts w:hint="eastAsia" w:ascii="仿宋_GB2312" w:hAnsi="TimesNewRomanPSMT" w:eastAsia="仿宋_GB2312"/>
          <w:color w:val="000000"/>
          <w:sz w:val="32"/>
          <w:szCs w:val="32"/>
        </w:rPr>
        <w:t xml:space="preserve">2024 </w:t>
      </w:r>
      <w:r>
        <w:rPr>
          <w:rFonts w:hint="eastAsia" w:ascii="仿宋_GB2312" w:eastAsia="仿宋_GB2312"/>
          <w:color w:val="000000"/>
          <w:sz w:val="32"/>
          <w:szCs w:val="32"/>
        </w:rPr>
        <w:t>年预算数为</w:t>
      </w:r>
      <w:r>
        <w:rPr>
          <w:rFonts w:hint="eastAsia" w:ascii="仿宋_GB2312" w:hAnsi="TimesNewRomanPSMT" w:eastAsia="仿宋_GB2312"/>
          <w:color w:val="000000"/>
          <w:sz w:val="32"/>
          <w:szCs w:val="32"/>
          <w:lang w:val="en-US" w:eastAsia="zh-CN"/>
        </w:rPr>
        <w:t>584.17</w:t>
      </w:r>
      <w:r>
        <w:rPr>
          <w:rFonts w:hint="eastAsia" w:ascii="仿宋_GB2312" w:eastAsia="仿宋_GB2312"/>
          <w:color w:val="000000"/>
          <w:sz w:val="32"/>
          <w:szCs w:val="32"/>
        </w:rPr>
        <w:t>万元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2.社会保障和就业支出</w:t>
      </w:r>
      <w:r>
        <w:rPr>
          <w:rFonts w:hint="eastAsia" w:ascii="仿宋_GB2312" w:hAnsi="TimesNewRomanPSMT" w:eastAsia="仿宋_GB2312"/>
          <w:color w:val="000000"/>
          <w:sz w:val="32"/>
          <w:szCs w:val="32"/>
        </w:rPr>
        <w:t xml:space="preserve">2024 </w:t>
      </w:r>
      <w:r>
        <w:rPr>
          <w:rFonts w:hint="eastAsia" w:ascii="仿宋_GB2312" w:eastAsia="仿宋_GB2312"/>
          <w:color w:val="000000"/>
          <w:sz w:val="32"/>
          <w:szCs w:val="32"/>
        </w:rPr>
        <w:t>年预算数为</w:t>
      </w:r>
      <w:r>
        <w:rPr>
          <w:rFonts w:hint="eastAsia" w:ascii="仿宋_GB2312" w:hAnsi="TimesNewRomanPSMT" w:eastAsia="仿宋_GB2312"/>
          <w:color w:val="000000"/>
          <w:sz w:val="32"/>
          <w:szCs w:val="32"/>
          <w:lang w:val="en-US" w:eastAsia="zh-CN"/>
        </w:rPr>
        <w:t>88.09</w:t>
      </w:r>
      <w:r>
        <w:rPr>
          <w:rFonts w:hint="eastAsia" w:ascii="仿宋_GB2312" w:eastAsia="仿宋_GB2312"/>
          <w:color w:val="000000"/>
          <w:sz w:val="32"/>
          <w:szCs w:val="32"/>
        </w:rPr>
        <w:t>万元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.卫生健康支出</w:t>
      </w:r>
      <w:r>
        <w:rPr>
          <w:rFonts w:hint="eastAsia" w:ascii="仿宋_GB2312" w:hAnsi="TimesNewRomanPSMT" w:eastAsia="仿宋_GB2312"/>
          <w:color w:val="000000"/>
          <w:sz w:val="32"/>
          <w:szCs w:val="32"/>
        </w:rPr>
        <w:t xml:space="preserve">2024 </w:t>
      </w:r>
      <w:r>
        <w:rPr>
          <w:rFonts w:hint="eastAsia" w:ascii="仿宋_GB2312" w:eastAsia="仿宋_GB2312"/>
          <w:color w:val="000000"/>
          <w:sz w:val="32"/>
          <w:szCs w:val="32"/>
        </w:rPr>
        <w:t>年预算数为</w:t>
      </w:r>
      <w:r>
        <w:rPr>
          <w:rFonts w:hint="eastAsia" w:ascii="仿宋_GB2312" w:hAnsi="TimesNewRomanPSMT" w:eastAsia="仿宋_GB2312"/>
          <w:color w:val="000000"/>
          <w:sz w:val="32"/>
          <w:szCs w:val="32"/>
          <w:lang w:val="en-US" w:eastAsia="zh-CN"/>
        </w:rPr>
        <w:t>0.48</w:t>
      </w:r>
      <w:r>
        <w:rPr>
          <w:rFonts w:hint="eastAsia" w:ascii="仿宋_GB2312" w:eastAsia="仿宋_GB2312"/>
          <w:color w:val="000000"/>
          <w:sz w:val="32"/>
          <w:szCs w:val="32"/>
        </w:rPr>
        <w:t>万元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4.住房保障支出</w:t>
      </w:r>
      <w:r>
        <w:rPr>
          <w:rFonts w:hint="eastAsia" w:ascii="仿宋_GB2312" w:hAnsi="TimesNewRomanPSMT" w:eastAsia="仿宋_GB2312"/>
          <w:color w:val="000000"/>
          <w:sz w:val="32"/>
          <w:szCs w:val="32"/>
        </w:rPr>
        <w:t xml:space="preserve">2024 </w:t>
      </w:r>
      <w:r>
        <w:rPr>
          <w:rFonts w:hint="eastAsia" w:ascii="仿宋_GB2312" w:eastAsia="仿宋_GB2312"/>
          <w:color w:val="000000"/>
          <w:sz w:val="32"/>
          <w:szCs w:val="32"/>
        </w:rPr>
        <w:t>年预算数为</w:t>
      </w:r>
      <w:r>
        <w:rPr>
          <w:rFonts w:hint="eastAsia" w:ascii="仿宋_GB2312" w:hAnsi="TimesNewRomanPSMT" w:eastAsia="仿宋_GB2312"/>
          <w:color w:val="000000"/>
          <w:sz w:val="32"/>
          <w:szCs w:val="32"/>
          <w:lang w:val="en-US" w:eastAsia="zh-CN"/>
        </w:rPr>
        <w:t>45.96</w:t>
      </w:r>
      <w:r>
        <w:rPr>
          <w:rFonts w:hint="eastAsia" w:ascii="仿宋_GB2312" w:eastAsia="仿宋_GB2312"/>
          <w:color w:val="000000"/>
          <w:sz w:val="32"/>
          <w:szCs w:val="32"/>
        </w:rPr>
        <w:t>万元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五、部门（单位）一般公共预算财政拨款“三公”经费、培训费、会议费等情况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（一）“三公”经费情况说明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仿宋_GB2312" w:hAnsi="仿宋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“三公”经费预算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万元，较2023年预算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无变化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（二）培训费预算情况说明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培训费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万元，较2023年预算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无变化</w:t>
      </w:r>
      <w:r>
        <w:rPr>
          <w:rFonts w:hint="eastAsia" w:ascii="仿宋_GB2312" w:hAnsi="仿宋" w:eastAsia="仿宋_GB2312"/>
          <w:sz w:val="32"/>
          <w:szCs w:val="32"/>
        </w:rPr>
        <w:t>。。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（三）会议费预算情况说明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会议费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万元，较2023年预算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无变化</w:t>
      </w:r>
      <w:r>
        <w:rPr>
          <w:rFonts w:hint="eastAsia" w:ascii="仿宋_GB2312" w:hAnsi="仿宋" w:eastAsia="仿宋_GB2312"/>
          <w:sz w:val="32"/>
          <w:szCs w:val="32"/>
        </w:rPr>
        <w:t>。。</w:t>
      </w:r>
    </w:p>
    <w:p>
      <w:pPr>
        <w:widowControl/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六、一般公共预算财政拨款机关运行经费情况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机关运行经费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60</w:t>
      </w:r>
      <w:r>
        <w:rPr>
          <w:rFonts w:hint="eastAsia" w:ascii="仿宋_GB2312" w:hAnsi="仿宋" w:eastAsia="仿宋_GB2312"/>
          <w:sz w:val="32"/>
          <w:szCs w:val="32"/>
        </w:rPr>
        <w:t>万元，较2023年预算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无变化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七、政府采购安排情况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2024年，部门（单位）政府采购预算总额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万元，其中：政府采购货物预算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万元，政府采购工程预算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万元，政府采购服务预算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2024年，部门（单位）面向中小企业预留政府采购项目预算金额  万元，小微企业预留政府采购项目预算金额  万元。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八、国有资产占用情况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上年末固定资产金额为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489.32</w:t>
      </w:r>
      <w:r>
        <w:rPr>
          <w:rFonts w:hint="eastAsia" w:ascii="仿宋_GB2312" w:hAnsi="仿宋" w:eastAsia="仿宋_GB2312"/>
          <w:sz w:val="32"/>
          <w:szCs w:val="32"/>
        </w:rPr>
        <w:t>万元。其中：办公用房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2181</w:t>
      </w:r>
      <w:r>
        <w:rPr>
          <w:rFonts w:hint="eastAsia" w:ascii="仿宋_GB2312" w:hAnsi="仿宋" w:eastAsia="仿宋_GB2312"/>
          <w:sz w:val="32"/>
          <w:szCs w:val="32"/>
        </w:rPr>
        <w:t xml:space="preserve">平方米，价值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139.76</w:t>
      </w:r>
      <w:r>
        <w:rPr>
          <w:rFonts w:hint="eastAsia" w:ascii="仿宋_GB2312" w:hAnsi="仿宋" w:eastAsia="仿宋_GB2312"/>
          <w:sz w:val="32"/>
          <w:szCs w:val="32"/>
        </w:rPr>
        <w:t>万元。预算部门（单位）共有公务用车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辆，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。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无</w:t>
      </w:r>
      <w:r>
        <w:rPr>
          <w:rFonts w:hint="eastAsia" w:ascii="仿宋_GB2312" w:hAnsi="仿宋" w:eastAsia="仿宋_GB2312"/>
          <w:sz w:val="32"/>
          <w:szCs w:val="32"/>
        </w:rPr>
        <w:t>单价20万元以上的设备。2024年拟采购固定资产约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九、其他重要事项情况说明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（一）政府性基金预算支出情况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2024年未安排政府性基金预算支出，未安排预算，政府性基金预算支出情况表为空表。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（二）非税收入情况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我单位</w:t>
      </w:r>
      <w:r>
        <w:rPr>
          <w:rFonts w:hint="eastAsia" w:ascii="仿宋_GB2312" w:hAnsi="仿宋" w:eastAsia="仿宋_GB2312"/>
          <w:sz w:val="32"/>
          <w:szCs w:val="32"/>
        </w:rPr>
        <w:t>非税收入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主要为利息收入。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（三）重点项目情况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我单位</w:t>
      </w:r>
      <w:r>
        <w:rPr>
          <w:rFonts w:hint="eastAsia" w:ascii="仿宋_GB2312" w:hAnsi="仿宋" w:eastAsia="仿宋_GB2312"/>
          <w:sz w:val="32"/>
          <w:szCs w:val="32"/>
        </w:rPr>
        <w:t>没有一般公共预算的项目支出预算，则年初预算未安排项目支出，无重点项目说明。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</w:t>
      </w: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  <w:lang w:val="en-US" w:eastAsia="zh-CN"/>
        </w:rPr>
        <w:t>四</w:t>
      </w: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）国有资本经营预算支出情况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未安排预算，国有资本经营预算支出情况表为空表。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十、预算绩效管理情况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（一）2023年预算绩效管理工作情况。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按照《中共中央 国务院关于全面实施预算绩效管理的意见》《中共甘肃省委 甘肃省人民政府关于全面实施预算绩效管理的实施意见》等相关要求，我们将绩效理念和方法融入预算编制、执行、决算和监督全过程认真开展各项工作。</w:t>
      </w:r>
    </w:p>
    <w:p>
      <w:pPr>
        <w:widowControl/>
        <w:adjustRightInd w:val="0"/>
        <w:snapToGrid w:val="0"/>
        <w:spacing w:line="640" w:lineRule="exact"/>
        <w:ind w:firstLine="643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1.绩效目标管理情况。</w:t>
      </w:r>
      <w:r>
        <w:rPr>
          <w:rFonts w:hint="eastAsia" w:ascii="仿宋_GB2312" w:hAnsi="仿宋" w:eastAsia="仿宋_GB2312"/>
          <w:sz w:val="32"/>
          <w:szCs w:val="32"/>
        </w:rPr>
        <w:t>2023年度，按照“谁申请资金，谁设置目标”的原则，纳入部门预算管理的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单位</w:t>
      </w:r>
      <w:r>
        <w:rPr>
          <w:rFonts w:hint="eastAsia" w:ascii="仿宋_GB2312" w:hAnsi="仿宋" w:eastAsia="仿宋_GB2312"/>
          <w:sz w:val="32"/>
          <w:szCs w:val="32"/>
        </w:rPr>
        <w:t>整体支出和项目绩效目标   个，按规定随年度预算一并公开项目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个，公开率为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>%。</w:t>
      </w:r>
    </w:p>
    <w:p>
      <w:pPr>
        <w:widowControl/>
        <w:adjustRightInd w:val="0"/>
        <w:snapToGrid w:val="0"/>
        <w:spacing w:line="640" w:lineRule="exact"/>
        <w:ind w:firstLine="643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2.绩效运行监控情况。</w:t>
      </w:r>
      <w:r>
        <w:rPr>
          <w:rFonts w:hint="eastAsia" w:ascii="仿宋_GB2312" w:hAnsi="仿宋" w:eastAsia="仿宋_GB2312"/>
          <w:sz w:val="32"/>
          <w:szCs w:val="32"/>
        </w:rPr>
        <w:t>2023年7月，组织开展1-6月绩效运行监控项目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个，占本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单位</w:t>
      </w:r>
      <w:r>
        <w:rPr>
          <w:rFonts w:hint="eastAsia" w:ascii="仿宋_GB2312" w:hAnsi="仿宋" w:eastAsia="仿宋_GB2312"/>
          <w:sz w:val="32"/>
          <w:szCs w:val="32"/>
        </w:rPr>
        <w:t>项目的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>%。截至7月底，如期完成预算执行和绩效目标指标值的项目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个，完成率为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>%。“双监控”发现存在的问题和主要原因是：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无</w:t>
      </w:r>
      <w:r>
        <w:rPr>
          <w:rFonts w:hint="eastAsia" w:ascii="仿宋_GB2312" w:hAnsi="仿宋" w:eastAsia="仿宋_GB2312"/>
          <w:sz w:val="32"/>
          <w:szCs w:val="32"/>
        </w:rPr>
        <w:t>。开展1-9月绩效运行监控项目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个，占本单位项目的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>%。截至10月底，如期完成预算执行和绩效目标指标值的项目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个，完成率为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>%。“双监控”发现存在的问题和主要原因是：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无</w:t>
      </w:r>
      <w:r>
        <w:rPr>
          <w:rFonts w:hint="eastAsia" w:ascii="仿宋_GB2312" w:hAnsi="仿宋" w:eastAsia="仿宋_GB2312"/>
          <w:sz w:val="32"/>
          <w:szCs w:val="32"/>
        </w:rPr>
        <w:t>。绩效运行监控在部门内部通报整改情况：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无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widowControl/>
        <w:adjustRightInd w:val="0"/>
        <w:snapToGrid w:val="0"/>
        <w:spacing w:line="640" w:lineRule="exact"/>
        <w:ind w:firstLine="643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3.绩效自评开展情况。</w:t>
      </w:r>
      <w:r>
        <w:rPr>
          <w:rFonts w:hint="eastAsia" w:ascii="仿宋_GB2312" w:hAnsi="仿宋" w:eastAsia="仿宋_GB2312"/>
          <w:sz w:val="32"/>
          <w:szCs w:val="32"/>
        </w:rPr>
        <w:t>2023年度，组织开展绩效自评项目共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个，其中，部门（单位）整体支出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个，项目支出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个，转移支付项目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个，绩效自评覆盖率为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>%。绩效自评结果随部门决算报送财政和随决算公开情况：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已公开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widowControl/>
        <w:adjustRightInd w:val="0"/>
        <w:snapToGrid w:val="0"/>
        <w:spacing w:line="640" w:lineRule="exact"/>
        <w:ind w:firstLine="643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4.绩效结果应用情况。</w:t>
      </w:r>
      <w:r>
        <w:rPr>
          <w:rFonts w:hint="eastAsia" w:ascii="仿宋_GB2312" w:hAnsi="仿宋" w:eastAsia="仿宋_GB2312"/>
          <w:sz w:val="32"/>
          <w:szCs w:val="32"/>
        </w:rPr>
        <w:t>根据2023年度绩效运行监控、绩效自评等情况，当年盘活财政资金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万元，2024年度增加（减少）部门预算项目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个，增长率/压减率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%。同时对政策和项目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资金管理作出调整的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个。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（二）2024年绩效目标编制情况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2024年，纳入单位预算绩效目标管理的项目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个。其中，部门整体支出绩效目标围绕部门管理、履职效果、能力建设三个维度，设置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二级指标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13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个、三级指标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24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个；</w:t>
      </w:r>
      <w:r>
        <w:rPr>
          <w:rFonts w:hint="eastAsia" w:ascii="仿宋_GB2312" w:hAnsi="仿宋" w:eastAsia="仿宋_GB2312"/>
          <w:sz w:val="32"/>
          <w:szCs w:val="32"/>
        </w:rPr>
        <w:t>项目支出绩效目标围绕成本指标、产出指标、效益指标、满意度指标四个维度，设置二级指标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个、三级指标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个。各项绩效目标内容指向明确、细化量化、合理可行，符合规定的格式要求。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十一、名词解释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1、财政拨款: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指由一般公共预算、政府性基金预算、国有资本经营预算安排的财政拨款数。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2、一般公共预算: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包括公共财政拨款（补助）资金、专项收入。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3、财政专户管理资金: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包括专户管理行政事业性收费（主要是教育收费）、其他非税收入。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4、其他资金: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包括事业收入、事业经营收入、其他收入等。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5、基本支出: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包括人员经费、公用经费（定额）。其中，人员经费包括工资福利支出、对个人和家庭的补助。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6、项目支出: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部门（单位）支出预算的组成部分，是各部门（单位）为完成其特定的行政任务或事业发展目标，在基本支出预算之外编制的年度项目支出计划。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7、“三公”经费: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指因公出国（境）费、公务用车购置及运行维护费和公务接待费。其中，因公出国（境）费反映单位公务出国（境）的国际旅费、国外城市间交通费、住宿费、伙食费、培训费、公杂费等支出；公务用车运行维护费反映单位按规定保留的公务用车租用费、燃料费、维修费、过路过桥费、保险费、安全奖励费用等支出；公务接待费反映单位按规定开支的各类公务接待（含外宾接待）支出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8、机关运行经费: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为保障行政单位（包括实行公务员管理的事业单位）运行用于购买货物和服务的各项资金，包括办公及印刷费、邮电费、差旅费、会议费、福利费、日常维修费、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……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4" w:eastAsia="仿宋_GB2312"/>
          <w:b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（请部门/单位对编制中涉及的专业名词进行补充解释）</w:t>
      </w:r>
    </w:p>
    <w:p>
      <w:pPr>
        <w:adjustRightInd w:val="0"/>
        <w:snapToGrid w:val="0"/>
        <w:spacing w:line="640" w:lineRule="exact"/>
        <w:contextualSpacing/>
        <w:jc w:val="right"/>
        <w:rPr>
          <w:rFonts w:hint="eastAsia" w:ascii="仿宋_GB2312" w:hAnsi="CIDFont+F6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640" w:lineRule="exact"/>
        <w:contextualSpacing/>
        <w:jc w:val="right"/>
        <w:rPr>
          <w:rFonts w:hint="eastAsia" w:ascii="仿宋_GB2312" w:hAnsi="CIDFont+F6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640" w:lineRule="exact"/>
        <w:ind w:right="960"/>
        <w:contextualSpacing/>
        <w:jc w:val="right"/>
        <w:rPr>
          <w:rFonts w:hint="eastAsia" w:ascii="仿宋_GB2312" w:hAnsi="CIDFont+F6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CIDFont+F6" w:eastAsia="仿宋_GB2312"/>
          <w:color w:val="000000"/>
          <w:sz w:val="32"/>
          <w:szCs w:val="32"/>
          <w:lang w:val="en-US" w:eastAsia="zh-CN"/>
        </w:rPr>
        <w:t>铺川乡人民政府</w:t>
      </w:r>
    </w:p>
    <w:p>
      <w:pPr>
        <w:adjustRightInd w:val="0"/>
        <w:snapToGrid w:val="0"/>
        <w:spacing w:line="640" w:lineRule="exact"/>
        <w:ind w:right="1120"/>
        <w:contextualSpacing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IDFont+F6" w:eastAsia="仿宋_GB2312"/>
          <w:color w:val="000000"/>
          <w:sz w:val="32"/>
          <w:szCs w:val="32"/>
          <w:lang w:val="en-US" w:eastAsia="zh-CN"/>
        </w:rPr>
        <w:t>2024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年</w:t>
      </w:r>
      <w:r>
        <w:rPr>
          <w:rFonts w:hint="eastAsia" w:ascii="仿宋_GB2312" w:hAnsi="CIDFont+F6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月</w:t>
      </w:r>
      <w:r>
        <w:rPr>
          <w:rFonts w:hint="eastAsia" w:ascii="仿宋_GB2312" w:hAnsi="CIDFont+F6" w:eastAsia="仿宋_GB2312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日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仿宋_GB2312" w:hAnsi="宋体" w:eastAsia="仿宋_GB2312" w:cs="宋体"/>
          <w:spacing w:val="-2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附件：</w:t>
      </w:r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  <w:lang w:eastAsia="zh-CN"/>
        </w:rPr>
        <w:t>铺川乡人民政府</w:t>
      </w:r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</w:rPr>
        <w:t xml:space="preserve"> 2024年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部门/单位</w:t>
      </w:r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</w:rPr>
        <w:t>预算公开表</w:t>
      </w:r>
    </w:p>
    <w:p>
      <w:pPr>
        <w:adjustRightInd w:val="0"/>
        <w:snapToGrid w:val="0"/>
        <w:spacing w:line="640" w:lineRule="exact"/>
        <w:ind w:left="1796" w:leftChars="767" w:hanging="185" w:hangingChars="58"/>
        <w:contextualSpacing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铺川乡人民政府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2024年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部门/单位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整体支出绩效目标及预算项目绩效目标表</w:t>
      </w:r>
    </w:p>
    <w:p>
      <w:pPr>
        <w:spacing w:line="360" w:lineRule="exact"/>
        <w:jc w:val="center"/>
        <w:rPr>
          <w:rFonts w:ascii="宋体" w:hAnsi="宋体"/>
          <w:b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附件1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表一、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部门/单位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收支总体情况表</w:t>
      </w:r>
    </w:p>
    <w:tbl>
      <w:tblPr>
        <w:tblW w:w="105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9"/>
        <w:gridCol w:w="1627"/>
        <w:gridCol w:w="3677"/>
        <w:gridCol w:w="14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0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4"/>
                <w:szCs w:val="3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bdr w:val="none" w:color="auto" w:sz="0" w:space="0"/>
                <w:lang w:val="en-US" w:eastAsia="zh-CN" w:bidi="ar"/>
              </w:rPr>
              <w:t>部门收支总体情况表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53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收入</w:t>
            </w:r>
          </w:p>
        </w:tc>
        <w:tc>
          <w:tcPr>
            <w:tcW w:w="5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预算数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一、一般公共预算财政拨款收入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718.70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一、一般公共服务支出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584.17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二、政府性基金预算财政拨款收入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二、外交支出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三、国有资本经营预算收入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三、国防支出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四、教育专户核算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四、公共安全支出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五、事业收入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五、教育支出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六、上级补助收入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六、科学技术支出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七、附属单位上缴收入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七、文化旅游体育与传媒支出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八、经营收入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八、社会保障和就业支出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九、其他收入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九、社会保险基金支出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十、卫生健康支出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十一、节能环保支出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十二、城乡社区支出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十三、农林水支出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十四、交通运输支出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十五、资源勘探工业信息等支出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十六、商业服务业等支出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十七、金融支出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十八、援助其他地区支出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十九、自然资源海洋气象等支出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二十、住房保障支出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二十一、粮油物资储备支出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二十二、国有资本经营预算支出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二十三、灾害防治及应急管理支出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二十四、预备费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二十五、其他支出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二十六、转移性支出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二十七、债务还本支出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二十八、债务付息支出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二十九、债务发行费用支出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三十、抗疫特别国债还本支出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本年收入合计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718.70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本年支出合计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十、上年结转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三十一、年终结转结余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十一、上年结余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收入总计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718.70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支出总计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718.70</w:t>
            </w:r>
          </w:p>
        </w:tc>
      </w:tr>
    </w:tbl>
    <w:p>
      <w:pPr>
        <w:ind w:firstLine="8820" w:firstLineChars="4900"/>
        <w:jc w:val="both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p>
      <w:pPr>
        <w:widowControl/>
        <w:spacing w:line="560" w:lineRule="exact"/>
        <w:ind w:firstLine="360" w:firstLineChars="200"/>
        <w:jc w:val="left"/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71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微软雅黑" w:eastAsia="仿宋_GB2312"/>
          <w:sz w:val="18"/>
          <w:szCs w:val="18"/>
        </w:rPr>
        <w:t>备注：无内容应公开空表并说明情况。</w:t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表二、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部门/单位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收入总体情况表</w:t>
      </w:r>
    </w:p>
    <w:p>
      <w:pPr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W w:w="102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3"/>
        <w:gridCol w:w="20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0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4"/>
                <w:szCs w:val="3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bdr w:val="none" w:color="auto" w:sz="0" w:space="0"/>
                <w:lang w:val="en-US" w:eastAsia="zh-CN" w:bidi="ar"/>
              </w:rPr>
              <w:t>部门收入总体情况表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一、一般公共预算财政拨款收入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二、政府性基金预算财政拨款收入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三、国有资本经营预算收入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四、教育专户核算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五、事业收入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六、上级补助收入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七、附属单位上缴收入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八、经营收入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九、其他收入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       本年收入合计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十、上年结转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十一、上年结余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       收入合计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宋体" w:hAnsi="宋体"/>
          <w:bCs/>
          <w:color w:val="000000"/>
          <w:sz w:val="18"/>
          <w:szCs w:val="18"/>
        </w:rPr>
      </w:pPr>
      <w:r>
        <w:rPr>
          <w:rFonts w:hint="eastAsia" w:ascii="宋体" w:hAnsi="宋体"/>
          <w:bCs/>
          <w:color w:val="000000"/>
          <w:sz w:val="18"/>
          <w:szCs w:val="18"/>
        </w:rPr>
        <w:t>备注：无内容应公开空表并说明情况。</w:t>
      </w:r>
    </w:p>
    <w:p>
      <w:pPr>
        <w:tabs>
          <w:tab w:val="left" w:pos="1272"/>
        </w:tabs>
        <w:rPr>
          <w:rFonts w:ascii="仿宋_GB2312" w:hAnsi="微软雅黑" w:eastAsia="仿宋_GB2312"/>
          <w:sz w:val="18"/>
          <w:szCs w:val="18"/>
        </w:r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tabs>
          <w:tab w:val="left" w:pos="1272"/>
        </w:tabs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表三、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部门/单位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支出总体情况表</w:t>
      </w:r>
    </w:p>
    <w:p>
      <w:pPr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p>
      <w:pPr>
        <w:rPr>
          <w:rFonts w:ascii="仿宋_GB2312" w:hAnsi="微软雅黑" w:eastAsia="仿宋_GB2312"/>
          <w:sz w:val="18"/>
          <w:szCs w:val="18"/>
        </w:rPr>
      </w:pPr>
    </w:p>
    <w:tbl>
      <w:tblPr>
        <w:tblW w:w="1048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2"/>
        <w:gridCol w:w="1808"/>
        <w:gridCol w:w="1644"/>
        <w:gridCol w:w="1596"/>
        <w:gridCol w:w="1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0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4"/>
                <w:szCs w:val="3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bdr w:val="none" w:color="auto" w:sz="0" w:space="0"/>
                <w:lang w:val="en-US" w:eastAsia="zh-CN" w:bidi="ar"/>
              </w:rPr>
              <w:t>部门支出总体情况表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功能分类科目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支出合计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基本支出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项目支出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上年结转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718.70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718.70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一般公共服务支出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584.17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584.17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政府办公厅（室）及相关机构事务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584.17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584.17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行政运行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584.17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584.17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社会保障和就业支出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88.09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88.09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行政事业单位养老支出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88.09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88.09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机关事业单位基本养老保险缴费支出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88.09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88.09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卫生健康支出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0.48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行政事业单位医疗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0.48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行政单位医疗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0.17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事业单位医疗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0.30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住房保障支出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45.96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45.96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住房改革支出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45.96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45.96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住房公积金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45.96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45.96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4056"/>
        </w:tabs>
        <w:rPr>
          <w:rFonts w:ascii="仿宋_GB2312" w:hAnsi="微软雅黑" w:eastAsia="仿宋_GB2312"/>
          <w:sz w:val="18"/>
          <w:szCs w:val="18"/>
        </w:r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tabs>
          <w:tab w:val="left" w:pos="4056"/>
        </w:tabs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表四、财政拨款收支总体情况表</w:t>
      </w:r>
    </w:p>
    <w:p>
      <w:pPr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W w:w="105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5"/>
        <w:gridCol w:w="2001"/>
        <w:gridCol w:w="3823"/>
        <w:gridCol w:w="17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0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4"/>
                <w:szCs w:val="3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bdr w:val="none" w:color="auto" w:sz="0" w:space="0"/>
                <w:lang w:val="en-US" w:eastAsia="zh-CN" w:bidi="ar"/>
              </w:rPr>
              <w:t>财政拨款收支总体情况表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49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收入</w:t>
            </w:r>
          </w:p>
        </w:tc>
        <w:tc>
          <w:tcPr>
            <w:tcW w:w="5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预算数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一、本年收入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718.70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一、本年支出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（一）一般公共预算财政拨款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718.70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（一）一般公共服务支出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584.17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（二）政府性基金预算财政拨款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（二）外交支出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（三）国有资本经营预算财政拨款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（三）国防支出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（四）公共安全支出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（五）教育支出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（六）科学技术支出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（七）文化体育与传媒支出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（八）社会保障和就业支出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（九）社会保险基金支出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（十）医疗卫生与计划生育支出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（十一）节能环保支出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（十二）城乡社区支出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（十三）农林水支出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（十四）交通运输支出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（十五）资源勘探信息等支出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（十六）商业服务业等支出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（十七）金融支出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（十八）援助其他地区支出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（十九）国土海洋气象等支出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（二十）住房保障支出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（二十一）粮油物资储备支出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（二十二）国有资本经营预算支出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（二十三）灾害防治及应急管理支出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（二十四）预备费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（二十五）其他支出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（二十六）债务还本支出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（二十七）债务付息支出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（二十八）债务发行费用支出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收入总计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718.70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支出总计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备注：无内容应公开空表并说明情况。</w:t>
            </w: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宋体" w:hAnsi="宋体" w:cs="Arial"/>
          <w:bCs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bCs/>
          <w:color w:val="000000"/>
          <w:kern w:val="0"/>
          <w:sz w:val="18"/>
          <w:szCs w:val="18"/>
        </w:rPr>
        <w:t>备注：无内容应公开空表并说明情况。</w:t>
      </w: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2784"/>
        </w:tabs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2784"/>
        </w:tabs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表五、财政拨款支出表</w:t>
      </w:r>
    </w:p>
    <w:p>
      <w:pPr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W w:w="1557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7"/>
        <w:gridCol w:w="1253"/>
        <w:gridCol w:w="1204"/>
        <w:gridCol w:w="1204"/>
        <w:gridCol w:w="1302"/>
        <w:gridCol w:w="1155"/>
        <w:gridCol w:w="1285"/>
        <w:gridCol w:w="1204"/>
        <w:gridCol w:w="1090"/>
        <w:gridCol w:w="1171"/>
        <w:gridCol w:w="1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5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4"/>
                <w:szCs w:val="3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bdr w:val="none" w:color="auto" w:sz="0" w:space="0"/>
                <w:lang w:val="en-US" w:eastAsia="zh-CN" w:bidi="ar"/>
              </w:rPr>
              <w:t>财政拨款支出表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37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2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3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一般公共预算支出</w:t>
            </w:r>
          </w:p>
        </w:tc>
        <w:tc>
          <w:tcPr>
            <w:tcW w:w="36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政府性基金预算支出</w:t>
            </w:r>
          </w:p>
        </w:tc>
        <w:tc>
          <w:tcPr>
            <w:tcW w:w="3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国有资本经营预算支出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37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基本支出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项目支出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基本支出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项目支出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基本支出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718.70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718.70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718.70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积石山县铺川乡人民政府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718.70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718.70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718.70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积石山县铺川乡人民政府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718.70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718.70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718.70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备注：无内容应公开空表并说明情况。</w:t>
      </w: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3936"/>
        </w:tabs>
        <w:rPr>
          <w:rFonts w:ascii="仿宋_GB2312" w:hAnsi="微软雅黑" w:eastAsia="仿宋_GB2312"/>
          <w:sz w:val="18"/>
          <w:szCs w:val="18"/>
        </w:r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tabs>
          <w:tab w:val="left" w:pos="3936"/>
        </w:tabs>
        <w:rPr>
          <w:rFonts w:ascii="仿宋_GB2312" w:hAnsi="微软雅黑" w:eastAsia="仿宋_GB2312"/>
          <w:sz w:val="18"/>
          <w:szCs w:val="18"/>
        </w:rPr>
        <w:sectPr>
          <w:pgSz w:w="16838" w:h="11906" w:orient="landscape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表六、一般公共预算支出情况表</w:t>
      </w:r>
    </w:p>
    <w:p>
      <w:pPr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W w:w="105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3092"/>
        <w:gridCol w:w="1839"/>
        <w:gridCol w:w="1920"/>
        <w:gridCol w:w="20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0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4"/>
                <w:szCs w:val="3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bdr w:val="none" w:color="auto" w:sz="0" w:space="0"/>
                <w:lang w:val="en-US" w:eastAsia="zh-CN" w:bidi="ar"/>
              </w:rPr>
              <w:t>一般公共预算支出情况表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47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功能分类科目</w:t>
            </w:r>
          </w:p>
        </w:tc>
        <w:tc>
          <w:tcPr>
            <w:tcW w:w="57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一般公共预算支出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科目编码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基本支出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718.70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718.703977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FFFFFF" w:fill="FFFFFF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一般公共服务支出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584.172757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584.172757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20103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政府办公厅（室）及相关机构事务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584.172757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584.172757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2010301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行政运行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584.172757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584.172757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社会保障和就业支出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88.093956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88.093956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20805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行政事业单位养老支出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88.093956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88.093956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2080505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机关事业单位基本养老保险缴费支出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88.093956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88.093956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卫生健康支出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0.4752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0.4752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21011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行政事业单位医疗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0.4752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0.4752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2101101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行政单位医疗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0.1728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0.1728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2101102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事业单位医疗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0.3024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0.3024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住房保障支出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45.962064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45.962064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22102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住房改革支出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45.962064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45.962064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2210201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住房公积金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45.962064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45.962064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2472"/>
        </w:tabs>
        <w:rPr>
          <w:rFonts w:ascii="仿宋_GB2312" w:hAnsi="微软雅黑" w:eastAsia="仿宋_GB2312"/>
          <w:sz w:val="18"/>
          <w:szCs w:val="18"/>
        </w:r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tabs>
          <w:tab w:val="left" w:pos="2472"/>
        </w:tabs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表七、一般公共预算基本支出情况表</w:t>
      </w:r>
    </w:p>
    <w:p>
      <w:pPr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p>
      <w:pPr>
        <w:rPr>
          <w:rFonts w:ascii="仿宋_GB2312" w:hAnsi="微软雅黑" w:eastAsia="仿宋_GB2312"/>
          <w:sz w:val="18"/>
          <w:szCs w:val="18"/>
        </w:rPr>
      </w:pPr>
    </w:p>
    <w:tbl>
      <w:tblPr>
        <w:tblW w:w="105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3855"/>
        <w:gridCol w:w="1725"/>
        <w:gridCol w:w="1807"/>
        <w:gridCol w:w="16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0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4"/>
                <w:szCs w:val="3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bdr w:val="none" w:color="auto" w:sz="0" w:space="0"/>
                <w:lang w:val="en-US" w:eastAsia="zh-CN" w:bidi="ar"/>
              </w:rPr>
              <w:t>一般公共预算基本支出表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5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53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经济分类科目</w:t>
            </w:r>
          </w:p>
        </w:tc>
        <w:tc>
          <w:tcPr>
            <w:tcW w:w="52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一般公共预算基本支出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4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科目编码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人员经费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公用经费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4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4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718.70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656.94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4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工资福利支出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656.94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656.94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4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30101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基本工资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160.87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160.87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4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30102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津贴补贴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254.07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254.07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4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30103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奖金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100.96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100.96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4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30111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公务员医疗补助缴费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3.74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3.74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4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30112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其他社会保障缴费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40.61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40.61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4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30108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机关事业单位基本养老保险缴费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32.83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32.83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4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30110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职工基本医疗保险缴费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17.91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17.91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4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30113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住房公积金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45.96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45.96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4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商品和服务支出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61.76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4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30299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其他商品和服务支出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21.76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4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30201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办公费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25.00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4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30202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印刷费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5.00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4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30206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电费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6.00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4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30213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维修（护）费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4.00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4.00</w:t>
            </w:r>
          </w:p>
        </w:tc>
      </w:tr>
    </w:tbl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1512"/>
        </w:tabs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ab/>
      </w:r>
    </w:p>
    <w:p>
      <w:pPr>
        <w:tabs>
          <w:tab w:val="left" w:pos="1512"/>
        </w:tabs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表八、一般公共预算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财政拨款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“三公”经费、会议费、培训费支出情况表</w:t>
      </w:r>
    </w:p>
    <w:p>
      <w:pPr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pPr w:leftFromText="180" w:rightFromText="180" w:vertAnchor="text" w:horzAnchor="page" w:tblpX="773" w:tblpY="564"/>
        <w:tblOverlap w:val="never"/>
        <w:tblW w:w="158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0"/>
        <w:gridCol w:w="1708"/>
        <w:gridCol w:w="1549"/>
        <w:gridCol w:w="1171"/>
        <w:gridCol w:w="1171"/>
        <w:gridCol w:w="1171"/>
        <w:gridCol w:w="1448"/>
        <w:gridCol w:w="15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8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4"/>
                <w:szCs w:val="3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bdr w:val="none" w:color="auto" w:sz="0" w:space="0"/>
                <w:lang w:val="en-US" w:eastAsia="zh-CN" w:bidi="ar"/>
              </w:rPr>
              <w:t>一般公共预算“三公”经费、会议费、培训费支出情况表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609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67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“三公”经费</w:t>
            </w:r>
          </w:p>
        </w:tc>
        <w:tc>
          <w:tcPr>
            <w:tcW w:w="14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会议费</w:t>
            </w: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培训费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609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因公出国（境）费用</w:t>
            </w:r>
          </w:p>
        </w:tc>
        <w:tc>
          <w:tcPr>
            <w:tcW w:w="11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公务接待费</w:t>
            </w:r>
          </w:p>
        </w:tc>
        <w:tc>
          <w:tcPr>
            <w:tcW w:w="2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公务用车购置和运行费</w:t>
            </w: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609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公务用车购置费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公务用车运行费</w:t>
            </w: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6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6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6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备注：无内容应公开空表并说明情况。</w:t>
      </w: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1812"/>
        </w:tabs>
        <w:rPr>
          <w:rFonts w:ascii="仿宋_GB2312" w:hAnsi="微软雅黑" w:eastAsia="仿宋_GB2312"/>
          <w:sz w:val="18"/>
          <w:szCs w:val="18"/>
        </w:r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tabs>
          <w:tab w:val="left" w:pos="1812"/>
        </w:tabs>
        <w:rPr>
          <w:rFonts w:ascii="仿宋_GB2312" w:hAnsi="微软雅黑" w:eastAsia="仿宋_GB2312"/>
          <w:sz w:val="18"/>
          <w:szCs w:val="18"/>
        </w:rPr>
        <w:sectPr>
          <w:pgSz w:w="16838" w:h="11906" w:orient="landscape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表九、一般公共预算财政拨款机关运行经费表</w:t>
      </w:r>
    </w:p>
    <w:p>
      <w:pPr>
        <w:wordWrap w:val="0"/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 xml:space="preserve">单位：万元 </w:t>
      </w:r>
    </w:p>
    <w:tbl>
      <w:tblPr>
        <w:tblStyle w:val="9"/>
        <w:tblW w:w="9411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3121"/>
        <w:gridCol w:w="1814"/>
        <w:gridCol w:w="1814"/>
        <w:gridCol w:w="18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81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[30201]办公费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[30202]印刷费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[30205]水费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[30206]电费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[30207]邮电费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[30208]取暖费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[30209]物业管理费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[30211]差旅费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[30213]维修（护）费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[30215]会议费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[30218]专用材料费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[30229]福利费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[30231]公务用车运行维护费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[30299]其他商品和服务支出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[31002]办公设备购置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微软雅黑" w:eastAsia="仿宋_GB2312"/>
          <w:sz w:val="18"/>
          <w:szCs w:val="18"/>
        </w:rPr>
        <w:t>备注：无内容应公开空表并说明情况。</w:t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表十、政府性基金预算支出情况表</w:t>
      </w:r>
    </w:p>
    <w:p>
      <w:pPr>
        <w:wordWrap w:val="0"/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 xml:space="preserve">单位：万元 </w:t>
      </w:r>
    </w:p>
    <w:tbl>
      <w:tblPr>
        <w:tblW w:w="102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6"/>
        <w:gridCol w:w="25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0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4"/>
                <w:szCs w:val="3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bdr w:val="none" w:color="auto" w:sz="0" w:space="0"/>
                <w:lang w:val="en-US" w:eastAsia="zh-CN" w:bidi="ar"/>
              </w:rPr>
              <w:t>政府性基金预算支出情况表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微软雅黑" w:eastAsia="仿宋_GB2312"/>
          <w:sz w:val="18"/>
          <w:szCs w:val="18"/>
        </w:rPr>
        <w:t>备注：无内容应公开空表并说明情况。</w:t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、国有资本经营预算支出情况表</w:t>
      </w:r>
    </w:p>
    <w:p>
      <w:pPr>
        <w:wordWrap w:val="0"/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 xml:space="preserve">单位：万元 </w:t>
      </w:r>
    </w:p>
    <w:tbl>
      <w:tblPr>
        <w:tblStyle w:val="9"/>
        <w:tblW w:w="949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5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微软雅黑" w:eastAsia="仿宋_GB2312"/>
          <w:sz w:val="18"/>
          <w:szCs w:val="18"/>
        </w:rPr>
        <w:t>备注：无内容应公开空表并说明情况。</w:t>
      </w:r>
    </w:p>
    <w:p>
      <w:pPr>
        <w:spacing w:line="360" w:lineRule="exac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附件2</w:t>
      </w:r>
    </w:p>
    <w:p>
      <w:pPr>
        <w:spacing w:line="56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部门/单位整体支出绩效目标表</w:t>
      </w:r>
    </w:p>
    <w:p>
      <w:pPr>
        <w:spacing w:line="560" w:lineRule="exact"/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（2024年度）</w:t>
      </w:r>
    </w:p>
    <w:tbl>
      <w:tblPr>
        <w:tblStyle w:val="9"/>
        <w:tblW w:w="87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625"/>
        <w:gridCol w:w="846"/>
        <w:gridCol w:w="817"/>
        <w:gridCol w:w="1756"/>
        <w:gridCol w:w="1519"/>
        <w:gridCol w:w="15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11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部门（单位）名称</w:t>
            </w:r>
          </w:p>
        </w:tc>
        <w:tc>
          <w:tcPr>
            <w:tcW w:w="56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="思源黑体" w:hAnsi="思源黑体" w:eastAsia="思源黑体" w:cs="思源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铺川</w:t>
            </w:r>
            <w:r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6" w:hRule="atLeast"/>
          <w:jc w:val="center"/>
        </w:trPr>
        <w:tc>
          <w:tcPr>
            <w:tcW w:w="6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总 体 目 标</w:t>
            </w:r>
          </w:p>
        </w:tc>
        <w:tc>
          <w:tcPr>
            <w:tcW w:w="810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1.贯彻执行党和国家的各项方针、政策、法律、法规；</w:t>
            </w:r>
          </w:p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2.制定并执行本行政区域内经济和社会发展规划、计划；</w:t>
            </w:r>
          </w:p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3.组织和实施乡村振兴相应工作；</w:t>
            </w:r>
          </w:p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4.完成上级党委、政府交办的其他工作</w:t>
            </w:r>
          </w:p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5.组织开展好行政管理和服务工作。</w:t>
            </w:r>
          </w:p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6.完成灾后重建工作</w:t>
            </w:r>
          </w:p>
          <w:p>
            <w:pPr>
              <w:widowControl/>
              <w:spacing w:line="360" w:lineRule="exact"/>
              <w:jc w:val="left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7.组织完成春耕工作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restart"/>
            <w:tcBorders>
              <w:top w:val="single" w:color="000000" w:sz="6" w:space="0"/>
              <w:left w:val="nil"/>
              <w:right w:val="single" w:color="000000" w:sz="6" w:space="0"/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预 算 情 况（万元）</w:t>
            </w:r>
          </w:p>
        </w:tc>
        <w:tc>
          <w:tcPr>
            <w:tcW w:w="328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按支出类型分</w:t>
            </w:r>
          </w:p>
        </w:tc>
        <w:tc>
          <w:tcPr>
            <w:tcW w:w="1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预算金额</w:t>
            </w:r>
          </w:p>
        </w:tc>
        <w:tc>
          <w:tcPr>
            <w:tcW w:w="1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按来源类型分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预算金额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基本支出</w:t>
            </w: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人员经费</w:t>
            </w:r>
          </w:p>
        </w:tc>
        <w:tc>
          <w:tcPr>
            <w:tcW w:w="1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589.36</w:t>
            </w:r>
          </w:p>
        </w:tc>
        <w:tc>
          <w:tcPr>
            <w:tcW w:w="1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当年财政拨款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734.51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left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公用经费</w:t>
            </w:r>
          </w:p>
        </w:tc>
        <w:tc>
          <w:tcPr>
            <w:tcW w:w="1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145.15</w:t>
            </w:r>
          </w:p>
        </w:tc>
        <w:tc>
          <w:tcPr>
            <w:tcW w:w="1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上年结转资金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1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734.51</w:t>
            </w:r>
          </w:p>
        </w:tc>
        <w:tc>
          <w:tcPr>
            <w:tcW w:w="1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其他资金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288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项目支出</w:t>
            </w:r>
          </w:p>
        </w:tc>
        <w:tc>
          <w:tcPr>
            <w:tcW w:w="175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收入预算合计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288" w:type="dxa"/>
            <w:gridSpan w:val="3"/>
            <w:vMerge w:val="continue"/>
            <w:tcBorders>
              <w:left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支出预算合计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绩 效 指 标</w:t>
            </w:r>
          </w:p>
        </w:tc>
        <w:tc>
          <w:tcPr>
            <w:tcW w:w="1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一级指标</w:t>
            </w: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二级指标</w:t>
            </w:r>
          </w:p>
        </w:tc>
        <w:tc>
          <w:tcPr>
            <w:tcW w:w="1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三级指标</w:t>
            </w:r>
          </w:p>
        </w:tc>
        <w:tc>
          <w:tcPr>
            <w:tcW w:w="30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部门管理</w:t>
            </w: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资金投入</w:t>
            </w:r>
          </w:p>
        </w:tc>
        <w:tc>
          <w:tcPr>
            <w:tcW w:w="1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基本支出预算执行率</w:t>
            </w:r>
          </w:p>
        </w:tc>
        <w:tc>
          <w:tcPr>
            <w:tcW w:w="30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财务管理</w:t>
            </w:r>
          </w:p>
        </w:tc>
        <w:tc>
          <w:tcPr>
            <w:tcW w:w="1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财务管理制度健全性</w:t>
            </w:r>
          </w:p>
        </w:tc>
        <w:tc>
          <w:tcPr>
            <w:tcW w:w="30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  <w:t>健全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资产管理</w:t>
            </w:r>
          </w:p>
        </w:tc>
        <w:tc>
          <w:tcPr>
            <w:tcW w:w="1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资产管理规范性</w:t>
            </w:r>
          </w:p>
        </w:tc>
        <w:tc>
          <w:tcPr>
            <w:tcW w:w="30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  <w:t>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履职效果</w:t>
            </w: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部门履职目标</w:t>
            </w:r>
          </w:p>
        </w:tc>
        <w:tc>
          <w:tcPr>
            <w:tcW w:w="1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贯彻执行党和国家的各项方针、政策、法律、法规</w:t>
            </w:r>
          </w:p>
        </w:tc>
        <w:tc>
          <w:tcPr>
            <w:tcW w:w="30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完全贯彻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社会影响</w:t>
            </w:r>
          </w:p>
        </w:tc>
        <w:tc>
          <w:tcPr>
            <w:tcW w:w="1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加强惠民政策宣传，提升基层社会治理能力现代化</w:t>
            </w:r>
          </w:p>
        </w:tc>
        <w:tc>
          <w:tcPr>
            <w:tcW w:w="30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  <w:t>提升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服务对象满意度</w:t>
            </w:r>
          </w:p>
        </w:tc>
        <w:tc>
          <w:tcPr>
            <w:tcW w:w="1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群众满意度</w:t>
            </w:r>
          </w:p>
        </w:tc>
        <w:tc>
          <w:tcPr>
            <w:tcW w:w="30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  <w:t>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能力建设</w:t>
            </w: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长效管理</w:t>
            </w:r>
          </w:p>
        </w:tc>
        <w:tc>
          <w:tcPr>
            <w:tcW w:w="1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提升基层服务能力</w:t>
            </w:r>
          </w:p>
        </w:tc>
        <w:tc>
          <w:tcPr>
            <w:tcW w:w="30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提升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人力资源建设</w:t>
            </w:r>
          </w:p>
        </w:tc>
        <w:tc>
          <w:tcPr>
            <w:tcW w:w="1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提升基层队伍建设</w:t>
            </w:r>
          </w:p>
        </w:tc>
        <w:tc>
          <w:tcPr>
            <w:tcW w:w="30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提升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档案管理</w:t>
            </w:r>
          </w:p>
        </w:tc>
        <w:tc>
          <w:tcPr>
            <w:tcW w:w="1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档案管理</w:t>
            </w:r>
          </w:p>
        </w:tc>
        <w:tc>
          <w:tcPr>
            <w:tcW w:w="30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规范</w:t>
            </w:r>
          </w:p>
        </w:tc>
      </w:tr>
    </w:tbl>
    <w:p/>
    <w:p>
      <w:pPr>
        <w:spacing w:line="56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br w:type="page"/>
      </w:r>
      <w:r>
        <w:rPr>
          <w:rFonts w:hint="eastAsia" w:ascii="仿宋_GB2312" w:eastAsia="仿宋_GB2312"/>
          <w:b/>
          <w:sz w:val="28"/>
          <w:szCs w:val="28"/>
        </w:rPr>
        <w:t>项目支出绩效目标表</w:t>
      </w:r>
    </w:p>
    <w:p>
      <w:pPr>
        <w:spacing w:line="560" w:lineRule="exact"/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（2024年度）</w:t>
      </w:r>
    </w:p>
    <w:tbl>
      <w:tblPr>
        <w:tblStyle w:val="9"/>
        <w:tblW w:w="86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1566"/>
        <w:gridCol w:w="1566"/>
        <w:gridCol w:w="966"/>
        <w:gridCol w:w="1116"/>
        <w:gridCol w:w="1025"/>
        <w:gridCol w:w="1213"/>
        <w:gridCol w:w="10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25"/>
                <w:lang w:val="en-US" w:eastAsia="zh-CN" w:bidi="ar"/>
              </w:rPr>
              <w:t>一级项目名称</w:t>
            </w:r>
          </w:p>
        </w:tc>
        <w:tc>
          <w:tcPr>
            <w:tcW w:w="216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积石山县</w:t>
            </w:r>
            <w:r>
              <w:rPr>
                <w:rFonts w:hint="eastAsia" w:ascii="思源黑体" w:hAnsi="思源黑体" w:eastAsia="思源黑体" w:cs="思源黑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铺川</w:t>
            </w:r>
            <w:r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乡人民政府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25"/>
                <w:lang w:val="en-US" w:eastAsia="zh-CN" w:bidi="ar"/>
              </w:rPr>
              <w:t>二级项目名称</w:t>
            </w:r>
          </w:p>
        </w:tc>
        <w:tc>
          <w:tcPr>
            <w:tcW w:w="324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思源黑体" w:hAnsi="思源黑体" w:eastAsia="思源黑体" w:cs="思源黑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铺川</w:t>
            </w:r>
            <w:r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乡人民政府工作经费项目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25"/>
                <w:lang w:val="en-US" w:eastAsia="zh-CN" w:bidi="ar"/>
              </w:rPr>
              <w:t>项目分类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25"/>
                <w:lang w:val="en-US" w:eastAsia="zh-CN" w:bidi="ar"/>
              </w:rPr>
              <w:t>申报属性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25"/>
                <w:lang w:val="en-US" w:eastAsia="zh-CN" w:bidi="ar"/>
              </w:rPr>
              <w:t>资金用途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思源黑体" w:hAnsi="思源黑体" w:eastAsia="思源黑体" w:cs="思源黑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铺川</w:t>
            </w:r>
            <w:r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乡人民政府工作经费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25"/>
                <w:lang w:val="en-US" w:eastAsia="zh-CN" w:bidi="ar"/>
              </w:rPr>
              <w:t>主管部门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25"/>
                <w:lang w:val="en-US" w:eastAsia="zh-CN" w:bidi="ar"/>
              </w:rPr>
              <w:t>项目开始日期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2024年1月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25"/>
                <w:lang w:val="en-US" w:eastAsia="zh-CN" w:bidi="ar"/>
              </w:rPr>
              <w:t>项目完成日期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25"/>
                <w:lang w:val="en-US" w:eastAsia="zh-CN" w:bidi="ar"/>
              </w:rPr>
              <w:t>基本情况</w:t>
            </w:r>
          </w:p>
        </w:tc>
        <w:tc>
          <w:tcPr>
            <w:tcW w:w="648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思源黑体" w:hAnsi="思源黑体" w:eastAsia="思源黑体" w:cs="思源黑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铺川</w:t>
            </w:r>
            <w:r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乡人民政府工作经费。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25"/>
                <w:lang w:val="en-US" w:eastAsia="zh-CN" w:bidi="ar"/>
              </w:rPr>
              <w:t>项目立项必要性</w:t>
            </w:r>
          </w:p>
        </w:tc>
        <w:tc>
          <w:tcPr>
            <w:tcW w:w="648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为了保障乡政府各项工作顺利完成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25"/>
                <w:lang w:val="en-US" w:eastAsia="zh-CN" w:bidi="ar"/>
              </w:rPr>
              <w:t>保障项目实施的制度措施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25"/>
                <w:lang w:val="en-US" w:eastAsia="zh-CN" w:bidi="ar"/>
              </w:rPr>
              <w:t>项目实施计划</w:t>
            </w:r>
          </w:p>
        </w:tc>
        <w:tc>
          <w:tcPr>
            <w:tcW w:w="648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2024年计划使用经费支出完成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25"/>
                <w:lang w:val="en-US" w:eastAsia="zh-CN" w:bidi="ar"/>
              </w:rPr>
              <w:t>组织实施单位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积石山县</w:t>
            </w:r>
            <w:r>
              <w:rPr>
                <w:rFonts w:hint="eastAsia" w:ascii="思源黑体" w:hAnsi="思源黑体" w:eastAsia="思源黑体" w:cs="思源黑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铺川</w:t>
            </w:r>
            <w:r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乡人民政府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25"/>
                <w:lang w:val="en-US" w:eastAsia="zh-CN" w:bidi="ar"/>
              </w:rPr>
              <w:t>监督管理单位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积石山县</w:t>
            </w:r>
            <w:r>
              <w:rPr>
                <w:rFonts w:hint="eastAsia" w:ascii="思源黑体" w:hAnsi="思源黑体" w:eastAsia="思源黑体" w:cs="思源黑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铺川</w:t>
            </w:r>
            <w:r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乡人民政府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25"/>
                <w:lang w:val="en-US" w:eastAsia="zh-CN" w:bidi="ar"/>
              </w:rPr>
              <w:t>项目实施单位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积石山县</w:t>
            </w:r>
            <w:r>
              <w:rPr>
                <w:rFonts w:hint="eastAsia" w:ascii="思源黑体" w:hAnsi="思源黑体" w:eastAsia="思源黑体" w:cs="思源黑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铺川</w:t>
            </w:r>
            <w:r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乡人民政府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25"/>
                <w:lang w:val="en-US" w:eastAsia="zh-CN" w:bidi="ar"/>
              </w:rPr>
              <w:t>政策依据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25"/>
                <w:lang w:val="en-US" w:eastAsia="zh-CN" w:bidi="ar"/>
              </w:rPr>
              <w:t>财务会计制度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25"/>
                <w:lang w:val="en-US" w:eastAsia="zh-CN" w:bidi="ar"/>
              </w:rPr>
              <w:t>其他依据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25"/>
                <w:lang w:val="en-US" w:eastAsia="zh-CN" w:bidi="ar"/>
              </w:rPr>
              <w:t>需要说明的其他情况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25"/>
                <w:lang w:val="en-US" w:eastAsia="zh-CN" w:bidi="ar"/>
              </w:rPr>
              <w:t>年度绩效目标</w:t>
            </w:r>
          </w:p>
        </w:tc>
        <w:tc>
          <w:tcPr>
            <w:tcW w:w="648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用于乡政府各项工作费用，提升乡政府经济发展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0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25"/>
                <w:lang w:val="en-US" w:eastAsia="zh-CN" w:bidi="ar"/>
              </w:rPr>
              <w:t>分解指标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25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25"/>
                <w:lang w:val="en-US" w:eastAsia="zh-CN" w:bidi="ar"/>
              </w:rPr>
              <w:t>一级指标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25"/>
                <w:lang w:val="en-US" w:eastAsia="zh-CN" w:bidi="ar"/>
              </w:rPr>
              <w:t>二级指标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25"/>
                <w:lang w:val="en-US" w:eastAsia="zh-CN" w:bidi="ar"/>
              </w:rPr>
              <w:t>三级指标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25"/>
                <w:lang w:val="en-US" w:eastAsia="zh-CN" w:bidi="ar"/>
              </w:rPr>
              <w:t>指标值类型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25"/>
                <w:lang w:val="en-US" w:eastAsia="zh-CN" w:bidi="ar"/>
              </w:rPr>
              <w:t>指标值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25"/>
                <w:lang w:val="en-US" w:eastAsia="zh-CN" w:bidi="ar"/>
              </w:rPr>
              <w:t>度量单位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25"/>
                <w:lang w:val="en-US" w:eastAsia="zh-CN" w:bidi="ar"/>
              </w:rPr>
              <w:t>指标值内容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25"/>
                <w:lang w:val="en-US" w:eastAsia="zh-CN" w:bidi="ar"/>
              </w:rPr>
              <w:t>成本指标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25"/>
                <w:lang w:val="en-US" w:eastAsia="zh-CN" w:bidi="ar"/>
              </w:rPr>
              <w:t>经济成本指标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25"/>
                <w:lang w:val="en-US" w:eastAsia="zh-CN" w:bidi="ar"/>
              </w:rPr>
              <w:t>成本控制率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25"/>
                <w:lang w:val="en-US" w:eastAsia="zh-CN" w:bidi="ar"/>
              </w:rPr>
              <w:t>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25"/>
                <w:lang w:val="en-US" w:eastAsia="zh-CN" w:bidi="ar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25"/>
                <w:lang w:val="en-US" w:eastAsia="zh-CN" w:bidi="ar"/>
              </w:rPr>
              <w:t>产出指标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25"/>
                <w:lang w:val="en-US" w:eastAsia="zh-CN" w:bidi="ar"/>
              </w:rPr>
              <w:t>数量指标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25"/>
                <w:lang w:val="en-US" w:eastAsia="zh-CN" w:bidi="ar"/>
              </w:rPr>
              <w:t>各项费用支付完成率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25"/>
                <w:lang w:val="en-US" w:eastAsia="zh-CN" w:bidi="ar"/>
              </w:rPr>
              <w:t>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25"/>
                <w:lang w:val="en-US" w:eastAsia="zh-CN" w:bidi="ar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25"/>
                <w:lang w:val="en-US" w:eastAsia="zh-CN" w:bidi="ar"/>
              </w:rPr>
              <w:t>质量指标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25"/>
                <w:lang w:val="en-US" w:eastAsia="zh-CN" w:bidi="ar"/>
              </w:rPr>
              <w:t>费用支付合规性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25"/>
                <w:lang w:val="en-US" w:eastAsia="zh-CN" w:bidi="ar"/>
              </w:rPr>
              <w:t>定性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25"/>
                <w:lang w:val="en-US" w:eastAsia="zh-CN" w:bidi="ar"/>
              </w:rPr>
              <w:t>合规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25"/>
                <w:lang w:val="en-US" w:eastAsia="zh-CN" w:bidi="ar"/>
              </w:rPr>
              <w:t>时效指标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25"/>
                <w:lang w:val="en-US" w:eastAsia="zh-CN" w:bidi="ar"/>
              </w:rPr>
              <w:t>费用支付及时性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25"/>
                <w:lang w:val="en-US" w:eastAsia="zh-CN" w:bidi="ar"/>
              </w:rPr>
              <w:t>定性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25"/>
                <w:lang w:val="en-US" w:eastAsia="zh-CN" w:bidi="ar"/>
              </w:rPr>
              <w:t>及时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25"/>
                <w:lang w:val="en-US" w:eastAsia="zh-CN" w:bidi="ar"/>
              </w:rPr>
              <w:t>效益指标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25"/>
                <w:lang w:val="en-US" w:eastAsia="zh-CN" w:bidi="ar"/>
              </w:rPr>
              <w:t>经济效益指标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25"/>
                <w:lang w:val="en-US" w:eastAsia="zh-CN" w:bidi="ar"/>
              </w:rPr>
              <w:t>带动县域经济发展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25"/>
                <w:lang w:val="en-US" w:eastAsia="zh-CN" w:bidi="ar"/>
              </w:rPr>
              <w:t>定性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25"/>
                <w:lang w:val="en-US" w:eastAsia="zh-CN" w:bidi="ar"/>
              </w:rPr>
              <w:t>带动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25"/>
                <w:lang w:val="en-US" w:eastAsia="zh-CN" w:bidi="ar"/>
              </w:rPr>
              <w:t>社会效益指标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25"/>
                <w:lang w:val="en-US" w:eastAsia="zh-CN" w:bidi="ar"/>
              </w:rPr>
              <w:t>保障机构正常运行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25"/>
                <w:lang w:val="en-US" w:eastAsia="zh-CN" w:bidi="ar"/>
              </w:rPr>
              <w:t>定性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25"/>
                <w:lang w:val="en-US" w:eastAsia="zh-CN" w:bidi="ar"/>
              </w:rPr>
              <w:t>有效保障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25"/>
                <w:lang w:val="en-US" w:eastAsia="zh-CN" w:bidi="ar"/>
              </w:rPr>
              <w:t>满意度指标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25"/>
                <w:lang w:val="en-US" w:eastAsia="zh-CN" w:bidi="ar"/>
              </w:rPr>
              <w:t>服务对象满意度指标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25"/>
                <w:lang w:val="en-US" w:eastAsia="zh-CN" w:bidi="ar"/>
              </w:rPr>
              <w:t>干部职工满意度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25"/>
                <w:lang w:val="en-US" w:eastAsia="zh-CN" w:bidi="ar"/>
              </w:rPr>
              <w:t>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25"/>
                <w:lang w:val="en-US" w:eastAsia="zh-CN" w:bidi="ar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25"/>
                <w:lang w:val="en-US" w:eastAsia="zh-CN" w:bidi="ar"/>
              </w:rPr>
              <w:t>招商企业满意度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25"/>
                <w:lang w:val="en-US" w:eastAsia="zh-CN" w:bidi="ar"/>
              </w:rPr>
              <w:t>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25"/>
                <w:lang w:val="en-US" w:eastAsia="zh-CN" w:bidi="ar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</w:tbl>
    <w:p>
      <w:pPr>
        <w:tabs>
          <w:tab w:val="left" w:pos="1848"/>
        </w:tabs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思源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IDFont+F6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IDFont+F4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27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4MTlhMjE0NzI3OTQyODgzMWJmM2YxNjIzZjg4YjAifQ=="/>
  </w:docVars>
  <w:rsids>
    <w:rsidRoot w:val="00FB4362"/>
    <w:rsid w:val="00000C55"/>
    <w:rsid w:val="00001446"/>
    <w:rsid w:val="0001130C"/>
    <w:rsid w:val="00011F27"/>
    <w:rsid w:val="00012457"/>
    <w:rsid w:val="00021BBF"/>
    <w:rsid w:val="00030443"/>
    <w:rsid w:val="00030F4C"/>
    <w:rsid w:val="0003278A"/>
    <w:rsid w:val="000368FE"/>
    <w:rsid w:val="00042A06"/>
    <w:rsid w:val="00043601"/>
    <w:rsid w:val="000442B5"/>
    <w:rsid w:val="0004639D"/>
    <w:rsid w:val="000465E2"/>
    <w:rsid w:val="0005161F"/>
    <w:rsid w:val="000547D1"/>
    <w:rsid w:val="00055759"/>
    <w:rsid w:val="000612EE"/>
    <w:rsid w:val="00061BAF"/>
    <w:rsid w:val="0006337D"/>
    <w:rsid w:val="00074626"/>
    <w:rsid w:val="00076B62"/>
    <w:rsid w:val="00082093"/>
    <w:rsid w:val="000861D5"/>
    <w:rsid w:val="0009273A"/>
    <w:rsid w:val="000A20A7"/>
    <w:rsid w:val="000A655B"/>
    <w:rsid w:val="000B54DD"/>
    <w:rsid w:val="000C2055"/>
    <w:rsid w:val="000C2B7F"/>
    <w:rsid w:val="000C37BE"/>
    <w:rsid w:val="000C4C50"/>
    <w:rsid w:val="000D0130"/>
    <w:rsid w:val="000D2EEE"/>
    <w:rsid w:val="000D2F19"/>
    <w:rsid w:val="000E0CEA"/>
    <w:rsid w:val="000F3CBF"/>
    <w:rsid w:val="000F3F42"/>
    <w:rsid w:val="000F473D"/>
    <w:rsid w:val="001017F3"/>
    <w:rsid w:val="0011297B"/>
    <w:rsid w:val="00123768"/>
    <w:rsid w:val="00126B08"/>
    <w:rsid w:val="001272E5"/>
    <w:rsid w:val="00127D01"/>
    <w:rsid w:val="00130F5F"/>
    <w:rsid w:val="001374F5"/>
    <w:rsid w:val="00152FDC"/>
    <w:rsid w:val="001561FD"/>
    <w:rsid w:val="0015647B"/>
    <w:rsid w:val="00156619"/>
    <w:rsid w:val="00156C8B"/>
    <w:rsid w:val="00160A8C"/>
    <w:rsid w:val="001700B4"/>
    <w:rsid w:val="00171070"/>
    <w:rsid w:val="001A416A"/>
    <w:rsid w:val="001A6118"/>
    <w:rsid w:val="001B0364"/>
    <w:rsid w:val="001B0B8E"/>
    <w:rsid w:val="001B342F"/>
    <w:rsid w:val="001C1259"/>
    <w:rsid w:val="001D1DA7"/>
    <w:rsid w:val="001E17E4"/>
    <w:rsid w:val="001E2410"/>
    <w:rsid w:val="001E347C"/>
    <w:rsid w:val="001E6110"/>
    <w:rsid w:val="001F3C4D"/>
    <w:rsid w:val="002033EA"/>
    <w:rsid w:val="00214046"/>
    <w:rsid w:val="0022561F"/>
    <w:rsid w:val="00232DBE"/>
    <w:rsid w:val="002355E7"/>
    <w:rsid w:val="00235F73"/>
    <w:rsid w:val="0023681E"/>
    <w:rsid w:val="00241FEC"/>
    <w:rsid w:val="00243562"/>
    <w:rsid w:val="0025164A"/>
    <w:rsid w:val="00265C3D"/>
    <w:rsid w:val="00266C2E"/>
    <w:rsid w:val="00270DF8"/>
    <w:rsid w:val="002754B3"/>
    <w:rsid w:val="0028392B"/>
    <w:rsid w:val="002934F2"/>
    <w:rsid w:val="002A3A19"/>
    <w:rsid w:val="002A3ED4"/>
    <w:rsid w:val="002A7274"/>
    <w:rsid w:val="002B2833"/>
    <w:rsid w:val="002B7BA1"/>
    <w:rsid w:val="002C01BB"/>
    <w:rsid w:val="002C3FA4"/>
    <w:rsid w:val="002E2161"/>
    <w:rsid w:val="002E30F2"/>
    <w:rsid w:val="002E4E72"/>
    <w:rsid w:val="002F0CE0"/>
    <w:rsid w:val="002F4ED9"/>
    <w:rsid w:val="002F75FE"/>
    <w:rsid w:val="002F7FA5"/>
    <w:rsid w:val="003017F4"/>
    <w:rsid w:val="00301AAB"/>
    <w:rsid w:val="00306B68"/>
    <w:rsid w:val="003129FE"/>
    <w:rsid w:val="003322AC"/>
    <w:rsid w:val="00335342"/>
    <w:rsid w:val="00343A8E"/>
    <w:rsid w:val="00345713"/>
    <w:rsid w:val="003566B9"/>
    <w:rsid w:val="00356C98"/>
    <w:rsid w:val="0036367B"/>
    <w:rsid w:val="0036496C"/>
    <w:rsid w:val="00365414"/>
    <w:rsid w:val="00372734"/>
    <w:rsid w:val="00372A33"/>
    <w:rsid w:val="0037374A"/>
    <w:rsid w:val="00377A88"/>
    <w:rsid w:val="00392E2B"/>
    <w:rsid w:val="003A396F"/>
    <w:rsid w:val="003A68FD"/>
    <w:rsid w:val="003A7A18"/>
    <w:rsid w:val="003B3187"/>
    <w:rsid w:val="003B327A"/>
    <w:rsid w:val="003B4612"/>
    <w:rsid w:val="003B76D2"/>
    <w:rsid w:val="003D6D41"/>
    <w:rsid w:val="003E3B0A"/>
    <w:rsid w:val="0040581D"/>
    <w:rsid w:val="00417BF3"/>
    <w:rsid w:val="00425D21"/>
    <w:rsid w:val="00426463"/>
    <w:rsid w:val="00427875"/>
    <w:rsid w:val="004317A0"/>
    <w:rsid w:val="0043556D"/>
    <w:rsid w:val="0043739B"/>
    <w:rsid w:val="00441579"/>
    <w:rsid w:val="004418B5"/>
    <w:rsid w:val="00445789"/>
    <w:rsid w:val="00463FB8"/>
    <w:rsid w:val="00480A2F"/>
    <w:rsid w:val="00480B47"/>
    <w:rsid w:val="00481F19"/>
    <w:rsid w:val="00487BC0"/>
    <w:rsid w:val="00490FF8"/>
    <w:rsid w:val="004A1851"/>
    <w:rsid w:val="004B337A"/>
    <w:rsid w:val="004B5538"/>
    <w:rsid w:val="004C3127"/>
    <w:rsid w:val="004D27C3"/>
    <w:rsid w:val="004D44D2"/>
    <w:rsid w:val="004D491E"/>
    <w:rsid w:val="004E3E51"/>
    <w:rsid w:val="004E625A"/>
    <w:rsid w:val="004F73BD"/>
    <w:rsid w:val="00502474"/>
    <w:rsid w:val="00515110"/>
    <w:rsid w:val="00523062"/>
    <w:rsid w:val="00532434"/>
    <w:rsid w:val="00537019"/>
    <w:rsid w:val="0054271B"/>
    <w:rsid w:val="00545281"/>
    <w:rsid w:val="00551A39"/>
    <w:rsid w:val="00566585"/>
    <w:rsid w:val="00580A2F"/>
    <w:rsid w:val="005A2CB7"/>
    <w:rsid w:val="005B15C7"/>
    <w:rsid w:val="005B51EA"/>
    <w:rsid w:val="005C6B92"/>
    <w:rsid w:val="005F4CC9"/>
    <w:rsid w:val="0060056E"/>
    <w:rsid w:val="006039C9"/>
    <w:rsid w:val="00605602"/>
    <w:rsid w:val="00605D22"/>
    <w:rsid w:val="00620A03"/>
    <w:rsid w:val="00621126"/>
    <w:rsid w:val="0062145A"/>
    <w:rsid w:val="00633C60"/>
    <w:rsid w:val="00645C9F"/>
    <w:rsid w:val="00650775"/>
    <w:rsid w:val="0065388D"/>
    <w:rsid w:val="00655506"/>
    <w:rsid w:val="00674396"/>
    <w:rsid w:val="006849AD"/>
    <w:rsid w:val="006853A7"/>
    <w:rsid w:val="0069507F"/>
    <w:rsid w:val="006955DD"/>
    <w:rsid w:val="00697A98"/>
    <w:rsid w:val="006A0492"/>
    <w:rsid w:val="006A3DED"/>
    <w:rsid w:val="006A6E23"/>
    <w:rsid w:val="006B05FF"/>
    <w:rsid w:val="006C4D2E"/>
    <w:rsid w:val="006D3D60"/>
    <w:rsid w:val="006E1F9C"/>
    <w:rsid w:val="006E4A2C"/>
    <w:rsid w:val="006E721A"/>
    <w:rsid w:val="006F0E11"/>
    <w:rsid w:val="006F40C8"/>
    <w:rsid w:val="00700872"/>
    <w:rsid w:val="00706BB4"/>
    <w:rsid w:val="00714029"/>
    <w:rsid w:val="007203B6"/>
    <w:rsid w:val="007222C1"/>
    <w:rsid w:val="00725205"/>
    <w:rsid w:val="0074091B"/>
    <w:rsid w:val="00740927"/>
    <w:rsid w:val="00744302"/>
    <w:rsid w:val="00747C60"/>
    <w:rsid w:val="007732EA"/>
    <w:rsid w:val="00777EA3"/>
    <w:rsid w:val="007933F9"/>
    <w:rsid w:val="00793C7B"/>
    <w:rsid w:val="007954B6"/>
    <w:rsid w:val="007A5E22"/>
    <w:rsid w:val="007B3768"/>
    <w:rsid w:val="007B5395"/>
    <w:rsid w:val="007C38FB"/>
    <w:rsid w:val="007C6434"/>
    <w:rsid w:val="007D4E4C"/>
    <w:rsid w:val="007D5F13"/>
    <w:rsid w:val="007D69F8"/>
    <w:rsid w:val="007E4819"/>
    <w:rsid w:val="007E4E03"/>
    <w:rsid w:val="007E7289"/>
    <w:rsid w:val="00805F3F"/>
    <w:rsid w:val="00817A5D"/>
    <w:rsid w:val="00821209"/>
    <w:rsid w:val="00821491"/>
    <w:rsid w:val="00831411"/>
    <w:rsid w:val="00842536"/>
    <w:rsid w:val="00843692"/>
    <w:rsid w:val="0085135B"/>
    <w:rsid w:val="0085287C"/>
    <w:rsid w:val="008559B6"/>
    <w:rsid w:val="008559FD"/>
    <w:rsid w:val="00855E65"/>
    <w:rsid w:val="0085612E"/>
    <w:rsid w:val="00880868"/>
    <w:rsid w:val="00880D30"/>
    <w:rsid w:val="008811AD"/>
    <w:rsid w:val="008812FA"/>
    <w:rsid w:val="008B222B"/>
    <w:rsid w:val="008C138F"/>
    <w:rsid w:val="008C204C"/>
    <w:rsid w:val="008C2625"/>
    <w:rsid w:val="008C4FE2"/>
    <w:rsid w:val="008D4D6A"/>
    <w:rsid w:val="008F7014"/>
    <w:rsid w:val="009049E9"/>
    <w:rsid w:val="00907F9B"/>
    <w:rsid w:val="00911503"/>
    <w:rsid w:val="00917C2D"/>
    <w:rsid w:val="009209B6"/>
    <w:rsid w:val="00923CB4"/>
    <w:rsid w:val="009335E0"/>
    <w:rsid w:val="00941732"/>
    <w:rsid w:val="009510F3"/>
    <w:rsid w:val="00954018"/>
    <w:rsid w:val="00955590"/>
    <w:rsid w:val="00970435"/>
    <w:rsid w:val="009704EC"/>
    <w:rsid w:val="00971619"/>
    <w:rsid w:val="00982EAB"/>
    <w:rsid w:val="0098505E"/>
    <w:rsid w:val="00991480"/>
    <w:rsid w:val="009945A7"/>
    <w:rsid w:val="00995E63"/>
    <w:rsid w:val="0099643D"/>
    <w:rsid w:val="009969DC"/>
    <w:rsid w:val="00996BA5"/>
    <w:rsid w:val="009A0F79"/>
    <w:rsid w:val="009A3C75"/>
    <w:rsid w:val="009B03F2"/>
    <w:rsid w:val="009C4EE2"/>
    <w:rsid w:val="009D46B1"/>
    <w:rsid w:val="009E7F6E"/>
    <w:rsid w:val="009F2B6A"/>
    <w:rsid w:val="009F5541"/>
    <w:rsid w:val="00A01204"/>
    <w:rsid w:val="00A022BA"/>
    <w:rsid w:val="00A256AC"/>
    <w:rsid w:val="00A32BE3"/>
    <w:rsid w:val="00A4207A"/>
    <w:rsid w:val="00A5653E"/>
    <w:rsid w:val="00A63533"/>
    <w:rsid w:val="00A723C4"/>
    <w:rsid w:val="00A72D2B"/>
    <w:rsid w:val="00A820E9"/>
    <w:rsid w:val="00A82942"/>
    <w:rsid w:val="00A83E24"/>
    <w:rsid w:val="00AA20F8"/>
    <w:rsid w:val="00AA327B"/>
    <w:rsid w:val="00AA55AF"/>
    <w:rsid w:val="00AB19A5"/>
    <w:rsid w:val="00AC2FD6"/>
    <w:rsid w:val="00AC78FC"/>
    <w:rsid w:val="00AD4CFE"/>
    <w:rsid w:val="00AE79BA"/>
    <w:rsid w:val="00AF350E"/>
    <w:rsid w:val="00AF3D8F"/>
    <w:rsid w:val="00AF5273"/>
    <w:rsid w:val="00AF5D3D"/>
    <w:rsid w:val="00B0671C"/>
    <w:rsid w:val="00B13495"/>
    <w:rsid w:val="00B262DD"/>
    <w:rsid w:val="00B278DE"/>
    <w:rsid w:val="00B30287"/>
    <w:rsid w:val="00B30EBD"/>
    <w:rsid w:val="00B351C3"/>
    <w:rsid w:val="00B36AC9"/>
    <w:rsid w:val="00B36E7A"/>
    <w:rsid w:val="00B542CD"/>
    <w:rsid w:val="00B6465B"/>
    <w:rsid w:val="00B772D7"/>
    <w:rsid w:val="00B85451"/>
    <w:rsid w:val="00B86006"/>
    <w:rsid w:val="00B86D86"/>
    <w:rsid w:val="00BA2A96"/>
    <w:rsid w:val="00BA5FE5"/>
    <w:rsid w:val="00BC1FD9"/>
    <w:rsid w:val="00BC30FF"/>
    <w:rsid w:val="00BC500D"/>
    <w:rsid w:val="00BD7FD7"/>
    <w:rsid w:val="00BF1606"/>
    <w:rsid w:val="00BF1647"/>
    <w:rsid w:val="00BF5A25"/>
    <w:rsid w:val="00C06428"/>
    <w:rsid w:val="00C11347"/>
    <w:rsid w:val="00C35018"/>
    <w:rsid w:val="00C40A34"/>
    <w:rsid w:val="00C4484E"/>
    <w:rsid w:val="00C46F7C"/>
    <w:rsid w:val="00C519B5"/>
    <w:rsid w:val="00C55EDB"/>
    <w:rsid w:val="00C573E9"/>
    <w:rsid w:val="00C729DA"/>
    <w:rsid w:val="00C764B7"/>
    <w:rsid w:val="00C90B56"/>
    <w:rsid w:val="00CA3F25"/>
    <w:rsid w:val="00CB5B9D"/>
    <w:rsid w:val="00CB6428"/>
    <w:rsid w:val="00CC01A5"/>
    <w:rsid w:val="00CC2134"/>
    <w:rsid w:val="00CD255A"/>
    <w:rsid w:val="00D126EC"/>
    <w:rsid w:val="00D14955"/>
    <w:rsid w:val="00D24CD6"/>
    <w:rsid w:val="00D24FA6"/>
    <w:rsid w:val="00D544D2"/>
    <w:rsid w:val="00D660F8"/>
    <w:rsid w:val="00D744C5"/>
    <w:rsid w:val="00D827AF"/>
    <w:rsid w:val="00D8451F"/>
    <w:rsid w:val="00D8474D"/>
    <w:rsid w:val="00D84D5B"/>
    <w:rsid w:val="00D86771"/>
    <w:rsid w:val="00D90C73"/>
    <w:rsid w:val="00D90F17"/>
    <w:rsid w:val="00D9480E"/>
    <w:rsid w:val="00D94FFD"/>
    <w:rsid w:val="00DA7038"/>
    <w:rsid w:val="00DB4AF2"/>
    <w:rsid w:val="00DB572A"/>
    <w:rsid w:val="00DC14B3"/>
    <w:rsid w:val="00DC399C"/>
    <w:rsid w:val="00DC7D6D"/>
    <w:rsid w:val="00DD2999"/>
    <w:rsid w:val="00DD2B43"/>
    <w:rsid w:val="00DD2CF8"/>
    <w:rsid w:val="00DD5C58"/>
    <w:rsid w:val="00DE240B"/>
    <w:rsid w:val="00DE529C"/>
    <w:rsid w:val="00DE6D9E"/>
    <w:rsid w:val="00DF3482"/>
    <w:rsid w:val="00DF450F"/>
    <w:rsid w:val="00E04A58"/>
    <w:rsid w:val="00E07425"/>
    <w:rsid w:val="00E07A05"/>
    <w:rsid w:val="00E16025"/>
    <w:rsid w:val="00E167FD"/>
    <w:rsid w:val="00E16F50"/>
    <w:rsid w:val="00E24179"/>
    <w:rsid w:val="00E31783"/>
    <w:rsid w:val="00E36636"/>
    <w:rsid w:val="00E43A34"/>
    <w:rsid w:val="00E44D37"/>
    <w:rsid w:val="00E52850"/>
    <w:rsid w:val="00E609A5"/>
    <w:rsid w:val="00E61928"/>
    <w:rsid w:val="00E656D2"/>
    <w:rsid w:val="00E7276C"/>
    <w:rsid w:val="00E84382"/>
    <w:rsid w:val="00E9180B"/>
    <w:rsid w:val="00EA0646"/>
    <w:rsid w:val="00EA2BA4"/>
    <w:rsid w:val="00EA3103"/>
    <w:rsid w:val="00EB15C1"/>
    <w:rsid w:val="00EC325A"/>
    <w:rsid w:val="00EC3A8E"/>
    <w:rsid w:val="00EC57F0"/>
    <w:rsid w:val="00ED68AF"/>
    <w:rsid w:val="00EF2E7C"/>
    <w:rsid w:val="00F01A6E"/>
    <w:rsid w:val="00F11811"/>
    <w:rsid w:val="00F20178"/>
    <w:rsid w:val="00F23C6C"/>
    <w:rsid w:val="00F24BC8"/>
    <w:rsid w:val="00F25045"/>
    <w:rsid w:val="00F30F3E"/>
    <w:rsid w:val="00F32002"/>
    <w:rsid w:val="00F4605D"/>
    <w:rsid w:val="00F51EF5"/>
    <w:rsid w:val="00F74928"/>
    <w:rsid w:val="00F8197E"/>
    <w:rsid w:val="00F833B1"/>
    <w:rsid w:val="00F87D90"/>
    <w:rsid w:val="00F90495"/>
    <w:rsid w:val="00FA4179"/>
    <w:rsid w:val="00FB4362"/>
    <w:rsid w:val="00FB53A1"/>
    <w:rsid w:val="00FD30CF"/>
    <w:rsid w:val="00FE0E46"/>
    <w:rsid w:val="00FF0AEC"/>
    <w:rsid w:val="00FF1DF4"/>
    <w:rsid w:val="00FF4165"/>
    <w:rsid w:val="01826A17"/>
    <w:rsid w:val="06155CFB"/>
    <w:rsid w:val="09616F12"/>
    <w:rsid w:val="0A56459C"/>
    <w:rsid w:val="0EE83C31"/>
    <w:rsid w:val="10F863AD"/>
    <w:rsid w:val="113741D2"/>
    <w:rsid w:val="13070B2A"/>
    <w:rsid w:val="19BE3023"/>
    <w:rsid w:val="1D34261E"/>
    <w:rsid w:val="1E1F2EFF"/>
    <w:rsid w:val="1E2D2B3D"/>
    <w:rsid w:val="1F4629DA"/>
    <w:rsid w:val="20FA2A3D"/>
    <w:rsid w:val="23146B39"/>
    <w:rsid w:val="257A518B"/>
    <w:rsid w:val="25D53E1D"/>
    <w:rsid w:val="27CE17BE"/>
    <w:rsid w:val="29E928DF"/>
    <w:rsid w:val="2BB772D9"/>
    <w:rsid w:val="2DCE1547"/>
    <w:rsid w:val="2EEE2746"/>
    <w:rsid w:val="31077AEF"/>
    <w:rsid w:val="31CF549D"/>
    <w:rsid w:val="382B0567"/>
    <w:rsid w:val="38DB3D3B"/>
    <w:rsid w:val="3C4F1ACE"/>
    <w:rsid w:val="3C7F70D3"/>
    <w:rsid w:val="4BE64249"/>
    <w:rsid w:val="4DB82445"/>
    <w:rsid w:val="4F31425D"/>
    <w:rsid w:val="527E074E"/>
    <w:rsid w:val="579503FF"/>
    <w:rsid w:val="5ECC5D50"/>
    <w:rsid w:val="5FAB3288"/>
    <w:rsid w:val="60535296"/>
    <w:rsid w:val="607F732C"/>
    <w:rsid w:val="636522D0"/>
    <w:rsid w:val="666B5E4F"/>
    <w:rsid w:val="6B657311"/>
    <w:rsid w:val="72FD2525"/>
    <w:rsid w:val="7394437D"/>
    <w:rsid w:val="75575F1C"/>
    <w:rsid w:val="7A8F7F06"/>
    <w:rsid w:val="7C183F2B"/>
    <w:rsid w:val="7E34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7"/>
    <w:autoRedefine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autoRedefine/>
    <w:qFormat/>
    <w:uiPriority w:val="0"/>
    <w:pPr>
      <w:spacing w:line="480" w:lineRule="auto"/>
      <w:ind w:left="420" w:leftChars="200"/>
    </w:pPr>
  </w:style>
  <w:style w:type="paragraph" w:styleId="4">
    <w:name w:val="annotation text"/>
    <w:basedOn w:val="1"/>
    <w:link w:val="19"/>
    <w:autoRedefine/>
    <w:qFormat/>
    <w:uiPriority w:val="0"/>
    <w:pPr>
      <w:jc w:val="left"/>
    </w:pPr>
  </w:style>
  <w:style w:type="paragraph" w:styleId="5">
    <w:name w:val="Balloon Text"/>
    <w:basedOn w:val="1"/>
    <w:link w:val="16"/>
    <w:autoRedefine/>
    <w:qFormat/>
    <w:uiPriority w:val="0"/>
    <w:rPr>
      <w:sz w:val="18"/>
      <w:szCs w:val="18"/>
    </w:rPr>
  </w:style>
  <w:style w:type="paragraph" w:styleId="6">
    <w:name w:val="footer"/>
    <w:basedOn w:val="1"/>
    <w:link w:val="13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20"/>
    <w:autoRedefine/>
    <w:qFormat/>
    <w:uiPriority w:val="0"/>
    <w:rPr>
      <w:b/>
      <w:bCs/>
    </w:rPr>
  </w:style>
  <w:style w:type="character" w:styleId="11">
    <w:name w:val="line number"/>
    <w:autoRedefine/>
    <w:qFormat/>
    <w:uiPriority w:val="0"/>
  </w:style>
  <w:style w:type="character" w:styleId="12">
    <w:name w:val="annotation reference"/>
    <w:autoRedefine/>
    <w:qFormat/>
    <w:uiPriority w:val="0"/>
    <w:rPr>
      <w:sz w:val="21"/>
      <w:szCs w:val="21"/>
    </w:rPr>
  </w:style>
  <w:style w:type="character" w:customStyle="1" w:styleId="13">
    <w:name w:val="页脚 Char"/>
    <w:link w:val="6"/>
    <w:autoRedefine/>
    <w:qFormat/>
    <w:uiPriority w:val="0"/>
    <w:rPr>
      <w:sz w:val="18"/>
      <w:szCs w:val="18"/>
    </w:rPr>
  </w:style>
  <w:style w:type="character" w:customStyle="1" w:styleId="14">
    <w:name w:val="页眉 Char"/>
    <w:link w:val="7"/>
    <w:autoRedefine/>
    <w:qFormat/>
    <w:uiPriority w:val="0"/>
    <w:rPr>
      <w:sz w:val="18"/>
      <w:szCs w:val="18"/>
    </w:rPr>
  </w:style>
  <w:style w:type="paragraph" w:styleId="15">
    <w:name w:val="List Paragraph"/>
    <w:basedOn w:val="1"/>
    <w:autoRedefine/>
    <w:qFormat/>
    <w:uiPriority w:val="0"/>
    <w:pPr>
      <w:ind w:firstLine="420" w:firstLineChars="200"/>
    </w:pPr>
  </w:style>
  <w:style w:type="character" w:customStyle="1" w:styleId="16">
    <w:name w:val="批注框文本 Char"/>
    <w:link w:val="5"/>
    <w:autoRedefine/>
    <w:qFormat/>
    <w:uiPriority w:val="0"/>
    <w:rPr>
      <w:kern w:val="2"/>
      <w:sz w:val="18"/>
      <w:szCs w:val="18"/>
    </w:rPr>
  </w:style>
  <w:style w:type="character" w:customStyle="1" w:styleId="17">
    <w:name w:val="标题 1 Char"/>
    <w:link w:val="3"/>
    <w:autoRedefine/>
    <w:qFormat/>
    <w:uiPriority w:val="0"/>
    <w:rPr>
      <w:rFonts w:ascii="Times New Roman" w:hAnsi="Times New Roman"/>
      <w:b/>
      <w:bCs/>
      <w:kern w:val="44"/>
      <w:sz w:val="44"/>
      <w:szCs w:val="44"/>
    </w:rPr>
  </w:style>
  <w:style w:type="paragraph" w:customStyle="1" w:styleId="18">
    <w:name w:val="TOC Heading"/>
    <w:basedOn w:val="3"/>
    <w:next w:val="1"/>
    <w:autoRedefine/>
    <w:qFormat/>
    <w:uiPriority w:val="0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19">
    <w:name w:val="批注文字 Char"/>
    <w:link w:val="4"/>
    <w:autoRedefine/>
    <w:qFormat/>
    <w:uiPriority w:val="0"/>
    <w:rPr>
      <w:kern w:val="2"/>
      <w:sz w:val="21"/>
      <w:szCs w:val="22"/>
    </w:rPr>
  </w:style>
  <w:style w:type="character" w:customStyle="1" w:styleId="20">
    <w:name w:val="批注主题 Char"/>
    <w:link w:val="8"/>
    <w:autoRedefine/>
    <w:qFormat/>
    <w:uiPriority w:val="0"/>
    <w:rPr>
      <w:b/>
      <w:bCs/>
      <w:kern w:val="2"/>
      <w:sz w:val="21"/>
      <w:szCs w:val="22"/>
    </w:rPr>
  </w:style>
  <w:style w:type="character" w:customStyle="1" w:styleId="21">
    <w:name w:val="fontstyle01"/>
    <w:autoRedefine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22">
    <w:name w:val="fontstyle21"/>
    <w:autoRedefine/>
    <w:qFormat/>
    <w:uiPriority w:val="0"/>
    <w:rPr>
      <w:rFonts w:hint="default" w:ascii="TimesNewRomanPSMT" w:hAnsi="TimesNewRomanPSMT"/>
      <w:color w:val="000000"/>
      <w:sz w:val="32"/>
      <w:szCs w:val="32"/>
    </w:rPr>
  </w:style>
  <w:style w:type="character" w:customStyle="1" w:styleId="23">
    <w:name w:val="fontstyle11"/>
    <w:autoRedefine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24">
    <w:name w:val="fontstyle31"/>
    <w:autoRedefine/>
    <w:qFormat/>
    <w:uiPriority w:val="0"/>
    <w:rPr>
      <w:rFonts w:hint="default" w:ascii="TimesNewRomanPSMT" w:hAnsi="TimesNewRomanPSMT"/>
      <w:color w:val="000000"/>
      <w:sz w:val="32"/>
      <w:szCs w:val="32"/>
    </w:rPr>
  </w:style>
  <w:style w:type="character" w:customStyle="1" w:styleId="25">
    <w:name w:val="font11"/>
    <w:basedOn w:val="10"/>
    <w:autoRedefine/>
    <w:qFormat/>
    <w:uiPriority w:val="0"/>
    <w:rPr>
      <w:rFonts w:hint="default" w:ascii="思源黑体" w:hAnsi="思源黑体" w:eastAsia="思源黑体" w:cs="思源黑体"/>
      <w:color w:val="000000"/>
      <w:sz w:val="15"/>
      <w:szCs w:val="15"/>
      <w:u w:val="none"/>
    </w:rPr>
  </w:style>
  <w:style w:type="character" w:customStyle="1" w:styleId="26">
    <w:name w:val="font21"/>
    <w:basedOn w:val="10"/>
    <w:autoRedefine/>
    <w:qFormat/>
    <w:uiPriority w:val="0"/>
    <w:rPr>
      <w:rFonts w:hint="default" w:ascii="思源黑体" w:hAnsi="思源黑体" w:eastAsia="思源黑体" w:cs="思源黑体"/>
      <w:color w:val="000000"/>
      <w:sz w:val="24"/>
      <w:szCs w:val="24"/>
      <w:u w:val="none"/>
    </w:rPr>
  </w:style>
  <w:style w:type="character" w:customStyle="1" w:styleId="27">
    <w:name w:val="font41"/>
    <w:basedOn w:val="10"/>
    <w:autoRedefine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beijing</Company>
  <Pages>30</Pages>
  <Words>1440</Words>
  <Characters>8209</Characters>
  <Lines>68</Lines>
  <Paragraphs>19</Paragraphs>
  <TotalTime>23</TotalTime>
  <ScaleCrop>false</ScaleCrop>
  <LinksUpToDate>false</LinksUpToDate>
  <CharactersWithSpaces>9630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2024-01-30T09:03:00Z</dcterms:created>
  <dc:creator>home</dc:creator>
  <cp:lastModifiedBy>Administrator</cp:lastModifiedBy>
  <cp:lastPrinted>2024-02-18T02:23:00Z</cp:lastPrinted>
  <dcterms:modified xsi:type="dcterms:W3CDTF">2024-04-02T03:10:38Z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4746AA2B63644A919A7677ADD6665D0C</vt:lpwstr>
  </property>
</Properties>
</file>