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00" w:lineRule="exact"/>
        <w:jc w:val="center"/>
        <w:rPr>
          <w:rFonts w:hint="eastAsia" w:eastAsia="方正小标宋简体"/>
          <w:color w:val="FF0000"/>
          <w:w w:val="40"/>
          <w:sz w:val="120"/>
          <w:szCs w:val="120"/>
        </w:rPr>
      </w:pPr>
    </w:p>
    <w:p>
      <w:pPr>
        <w:ind w:right="-153" w:rightChars="-73"/>
        <w:jc w:val="center"/>
        <w:rPr>
          <w:rFonts w:hint="eastAsia" w:ascii="方正小标宋简体" w:eastAsia="方正小标宋简体"/>
          <w:w w:val="43"/>
          <w:sz w:val="120"/>
          <w:szCs w:val="120"/>
        </w:rPr>
      </w:pPr>
    </w:p>
    <w:p>
      <w:pPr>
        <w:spacing w:before="468" w:beforeLines="150" w:line="560" w:lineRule="exact"/>
        <w:ind w:right="-153" w:rightChars="-73"/>
        <w:jc w:val="center"/>
        <w:rPr>
          <w:rFonts w:hint="eastAsia" w:ascii="仿宋_GB2312" w:eastAsia="仿宋_GB2312"/>
          <w:sz w:val="32"/>
          <w:szCs w:val="32"/>
        </w:rPr>
      </w:pPr>
      <w:r>
        <w:rPr>
          <w:rFonts w:hint="eastAsia" w:ascii="仿宋_GB2312" w:eastAsia="仿宋_GB2312"/>
          <w:sz w:val="32"/>
          <w:szCs w:val="32"/>
        </w:rPr>
        <w:t>积县政办发〔20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62</w:t>
      </w:r>
      <w:r>
        <w:rPr>
          <w:rFonts w:hint="eastAsia" w:ascii="仿宋_GB2312" w:eastAsia="仿宋_GB2312"/>
          <w:sz w:val="32"/>
          <w:szCs w:val="32"/>
        </w:rPr>
        <w:t>号</w:t>
      </w:r>
    </w:p>
    <w:p>
      <w:pPr>
        <w:spacing w:line="560" w:lineRule="exact"/>
        <w:jc w:val="center"/>
        <w:rPr>
          <w:rFonts w:hint="eastAsia" w:ascii="仿宋_GB2312" w:eastAsia="仿宋_GB2312"/>
          <w:sz w:val="32"/>
          <w:szCs w:val="32"/>
        </w:rPr>
      </w:pPr>
      <w:r>
        <w:rPr>
          <w:rFonts w:hint="eastAsia" w:ascii="仿宋_GB2312" w:eastAsia="仿宋_GB2312"/>
          <w:sz w:val="32"/>
          <w:szCs w:val="32"/>
        </w:rPr>
        <w:t xml:space="preserve"> </w:t>
      </w:r>
    </w:p>
    <w:p>
      <w:pPr>
        <w:widowControl w:val="0"/>
        <w:snapToGrid w:val="0"/>
        <w:spacing w:before="0" w:after="0" w:line="646" w:lineRule="atLeast"/>
        <w:ind w:left="0" w:right="0" w:firstLine="0"/>
        <w:jc w:val="center"/>
        <w:textAlignment w:val="baseline"/>
        <w:rPr>
          <w:rFonts w:ascii="方正小标宋简体" w:eastAsia="方正小标宋简体"/>
          <w:i w:val="0"/>
          <w:color w:val="000000"/>
          <w:spacing w:val="0"/>
          <w:sz w:val="42"/>
          <w:shd w:val="clear" w:color="auto" w:fill="auto"/>
        </w:rPr>
      </w:pPr>
      <w:r>
        <w:rPr>
          <w:rFonts w:hint="eastAsia" w:ascii="方正小标宋简体" w:eastAsia="方正小标宋简体"/>
          <w:i w:val="0"/>
          <w:color w:val="000000"/>
          <w:spacing w:val="0"/>
          <w:sz w:val="42"/>
          <w:shd w:val="clear" w:color="auto" w:fill="auto"/>
          <w:lang w:eastAsia="zh-CN"/>
        </w:rPr>
        <w:t>积石山县</w:t>
      </w:r>
      <w:r>
        <w:rPr>
          <w:rFonts w:ascii="方正小标宋简体" w:eastAsia="方正小标宋简体"/>
          <w:i w:val="0"/>
          <w:color w:val="000000"/>
          <w:spacing w:val="0"/>
          <w:sz w:val="42"/>
          <w:shd w:val="clear" w:color="auto" w:fill="auto"/>
        </w:rPr>
        <w:t>人民政府办公室</w:t>
      </w:r>
    </w:p>
    <w:p>
      <w:pPr>
        <w:widowControl w:val="0"/>
        <w:snapToGrid w:val="0"/>
        <w:spacing w:before="0" w:after="0" w:line="646" w:lineRule="atLeast"/>
        <w:ind w:left="0" w:right="0" w:firstLine="0"/>
        <w:jc w:val="center"/>
        <w:textAlignment w:val="baseline"/>
        <w:rPr>
          <w:spacing w:val="0"/>
          <w:shd w:val="clear" w:color="auto" w:fill="auto"/>
        </w:rPr>
      </w:pPr>
      <w:r>
        <w:rPr>
          <w:rFonts w:ascii="方正小标宋简体" w:eastAsia="方正小标宋简体"/>
          <w:i w:val="0"/>
          <w:color w:val="000000"/>
          <w:spacing w:val="0"/>
          <w:sz w:val="42"/>
          <w:shd w:val="clear" w:color="auto" w:fill="auto"/>
        </w:rPr>
        <w:t>关于印发《中共</w:t>
      </w:r>
      <w:r>
        <w:rPr>
          <w:rFonts w:hint="eastAsia" w:ascii="方正小标宋简体" w:eastAsia="方正小标宋简体"/>
          <w:i w:val="0"/>
          <w:color w:val="000000"/>
          <w:spacing w:val="0"/>
          <w:sz w:val="42"/>
          <w:shd w:val="clear" w:color="auto" w:fill="auto"/>
          <w:lang w:eastAsia="zh-CN"/>
        </w:rPr>
        <w:t>积石山县</w:t>
      </w:r>
      <w:r>
        <w:rPr>
          <w:rFonts w:ascii="方正小标宋简体" w:eastAsia="方正小标宋简体"/>
          <w:i w:val="0"/>
          <w:color w:val="000000"/>
          <w:spacing w:val="0"/>
          <w:sz w:val="42"/>
          <w:shd w:val="clear" w:color="auto" w:fill="auto"/>
        </w:rPr>
        <w:t>人民政府党组</w:t>
      </w:r>
    </w:p>
    <w:p>
      <w:pPr>
        <w:widowControl w:val="0"/>
        <w:snapToGrid w:val="0"/>
        <w:spacing w:before="0" w:after="0" w:line="646" w:lineRule="atLeast"/>
        <w:ind w:left="0" w:right="0" w:firstLine="0"/>
        <w:jc w:val="center"/>
        <w:textAlignment w:val="baseline"/>
        <w:rPr>
          <w:spacing w:val="0"/>
          <w:shd w:val="clear" w:color="auto" w:fill="auto"/>
        </w:rPr>
      </w:pPr>
      <w:r>
        <w:rPr>
          <w:rFonts w:ascii="方正小标宋简体" w:eastAsia="方正小标宋简体"/>
          <w:i w:val="0"/>
          <w:color w:val="000000"/>
          <w:spacing w:val="0"/>
          <w:sz w:val="42"/>
          <w:shd w:val="clear" w:color="auto" w:fill="auto"/>
        </w:rPr>
        <w:t>理论学习中心组2021年度学习计划》的通知</w:t>
      </w:r>
    </w:p>
    <w:p>
      <w:pPr>
        <w:widowControl w:val="0"/>
        <w:snapToGrid w:val="0"/>
        <w:spacing w:before="0" w:after="0" w:line="487" w:lineRule="atLeast"/>
        <w:ind w:left="0" w:right="0" w:firstLine="0"/>
        <w:jc w:val="center"/>
        <w:textAlignment w:val="baseline"/>
        <w:rPr>
          <w:shd w:val="clear" w:color="auto" w:fill="auto"/>
        </w:rPr>
      </w:pPr>
    </w:p>
    <w:p>
      <w:pPr>
        <w:widowControl w:val="0"/>
        <w:snapToGrid w:val="0"/>
        <w:spacing w:before="0" w:after="0" w:line="595" w:lineRule="atLeast"/>
        <w:ind w:left="0" w:right="0" w:firstLine="0"/>
        <w:jc w:val="both"/>
        <w:textAlignment w:val="center"/>
      </w:pPr>
      <w:r>
        <w:rPr>
          <w:rFonts w:ascii="仿宋_GB2312" w:eastAsia="仿宋_GB2312"/>
          <w:sz w:val="31"/>
        </w:rPr>
        <w:t>各</w:t>
      </w:r>
      <w:r>
        <w:rPr>
          <w:rFonts w:hint="eastAsia" w:ascii="仿宋_GB2312" w:eastAsia="仿宋_GB2312"/>
          <w:sz w:val="31"/>
          <w:lang w:eastAsia="zh-CN"/>
        </w:rPr>
        <w:t>乡</w:t>
      </w:r>
      <w:r>
        <w:rPr>
          <w:rFonts w:ascii="仿宋_GB2312" w:eastAsia="仿宋_GB2312"/>
          <w:sz w:val="31"/>
        </w:rPr>
        <w:t>（</w:t>
      </w:r>
      <w:r>
        <w:rPr>
          <w:rFonts w:hint="eastAsia" w:ascii="仿宋_GB2312" w:eastAsia="仿宋_GB2312"/>
          <w:sz w:val="31"/>
          <w:lang w:eastAsia="zh-CN"/>
        </w:rPr>
        <w:t>镇</w:t>
      </w:r>
      <w:r>
        <w:rPr>
          <w:rFonts w:ascii="仿宋_GB2312" w:eastAsia="仿宋_GB2312"/>
          <w:sz w:val="31"/>
        </w:rPr>
        <w:t>）人民政府、</w:t>
      </w:r>
      <w:r>
        <w:rPr>
          <w:rFonts w:hint="eastAsia" w:ascii="仿宋_GB2312" w:eastAsia="仿宋_GB2312"/>
          <w:sz w:val="31"/>
          <w:lang w:eastAsia="zh-CN"/>
        </w:rPr>
        <w:t>县</w:t>
      </w:r>
      <w:r>
        <w:rPr>
          <w:rFonts w:ascii="仿宋_GB2312" w:eastAsia="仿宋_GB2312"/>
          <w:sz w:val="31"/>
        </w:rPr>
        <w:t>政府各部门，</w:t>
      </w:r>
      <w:r>
        <w:rPr>
          <w:rFonts w:hint="eastAsia" w:ascii="仿宋_GB2312" w:eastAsia="仿宋_GB2312"/>
          <w:sz w:val="31"/>
          <w:lang w:eastAsia="zh-CN"/>
        </w:rPr>
        <w:t>县直及州驻县</w:t>
      </w:r>
      <w:r>
        <w:rPr>
          <w:rFonts w:ascii="仿宋_GB2312" w:eastAsia="仿宋_GB2312"/>
          <w:sz w:val="31"/>
        </w:rPr>
        <w:t>各单位：</w:t>
      </w:r>
    </w:p>
    <w:p>
      <w:pPr>
        <w:widowControl w:val="0"/>
        <w:snapToGrid w:val="0"/>
        <w:spacing w:before="0" w:after="0" w:line="595" w:lineRule="atLeast"/>
        <w:ind w:left="0" w:right="0" w:firstLine="623"/>
        <w:jc w:val="both"/>
        <w:textAlignment w:val="center"/>
      </w:pPr>
      <w:r>
        <w:rPr>
          <w:rFonts w:ascii="仿宋_GB2312" w:eastAsia="仿宋_GB2312"/>
          <w:sz w:val="31"/>
        </w:rPr>
        <w:t>《中共</w:t>
      </w:r>
      <w:r>
        <w:rPr>
          <w:rFonts w:hint="eastAsia" w:ascii="仿宋_GB2312" w:eastAsia="仿宋_GB2312"/>
          <w:sz w:val="31"/>
          <w:lang w:eastAsia="zh-CN"/>
        </w:rPr>
        <w:t>积石山县</w:t>
      </w:r>
      <w:r>
        <w:rPr>
          <w:rFonts w:ascii="仿宋_GB2312" w:eastAsia="仿宋_GB2312"/>
          <w:sz w:val="31"/>
        </w:rPr>
        <w:t>人民政府党组理论学习中心组2021年度学习计划》经</w:t>
      </w:r>
      <w:r>
        <w:rPr>
          <w:rFonts w:hint="eastAsia" w:ascii="仿宋_GB2312" w:eastAsia="仿宋_GB2312"/>
          <w:sz w:val="31"/>
          <w:lang w:eastAsia="zh-CN"/>
        </w:rPr>
        <w:t>县</w:t>
      </w:r>
      <w:r>
        <w:rPr>
          <w:rFonts w:ascii="仿宋_GB2312" w:eastAsia="仿宋_GB2312"/>
          <w:sz w:val="31"/>
        </w:rPr>
        <w:t>政府同意，现印发给你们</w:t>
      </w:r>
      <w:r>
        <w:rPr>
          <w:rFonts w:hint="eastAsia" w:ascii="仿宋_GB2312" w:eastAsia="仿宋_GB2312"/>
          <w:sz w:val="31"/>
          <w:lang w:eastAsia="zh-CN"/>
        </w:rPr>
        <w:t>，请认真抓好贯彻落实</w:t>
      </w:r>
      <w:r>
        <w:rPr>
          <w:rFonts w:ascii="仿宋_GB2312" w:eastAsia="仿宋_GB2312"/>
          <w:sz w:val="31"/>
        </w:rPr>
        <w:t>。</w:t>
      </w:r>
    </w:p>
    <w:p>
      <w:pPr>
        <w:widowControl w:val="0"/>
        <w:snapToGrid w:val="0"/>
        <w:spacing w:before="0" w:after="0" w:line="527" w:lineRule="atLeast"/>
        <w:ind w:left="0" w:right="0" w:firstLine="0"/>
        <w:jc w:val="both"/>
        <w:textAlignment w:val="center"/>
        <w:rPr>
          <w:rFonts w:ascii="黑体" w:eastAsia="黑体"/>
          <w:sz w:val="31"/>
        </w:rPr>
      </w:pPr>
      <w:r>
        <w:rPr>
          <w:rFonts w:ascii="黑体" w:eastAsia="黑体"/>
          <w:sz w:val="31"/>
        </w:rPr>
        <w:t xml:space="preserve">                </w:t>
      </w:r>
    </w:p>
    <w:p>
      <w:pPr>
        <w:widowControl w:val="0"/>
        <w:snapToGrid w:val="0"/>
        <w:spacing w:before="0" w:after="0" w:line="527" w:lineRule="atLeast"/>
        <w:ind w:left="0" w:right="0" w:firstLine="0"/>
        <w:jc w:val="both"/>
        <w:textAlignment w:val="center"/>
      </w:pPr>
      <w:r>
        <w:rPr>
          <w:rFonts w:ascii="黑体" w:eastAsia="黑体"/>
          <w:sz w:val="31"/>
        </w:rPr>
        <w:t xml:space="preserve">    </w:t>
      </w:r>
    </w:p>
    <w:p>
      <w:pPr>
        <w:widowControl w:val="0"/>
        <w:snapToGrid w:val="0"/>
        <w:spacing w:before="0" w:after="0" w:line="555" w:lineRule="atLeast"/>
        <w:ind w:left="0" w:right="0" w:firstLine="0"/>
        <w:jc w:val="both"/>
        <w:textAlignment w:val="center"/>
        <w:rPr>
          <w:rFonts w:ascii="仿宋_GB2312" w:eastAsia="仿宋_GB2312"/>
          <w:sz w:val="31"/>
        </w:rPr>
      </w:pPr>
      <w:r>
        <w:rPr>
          <w:rFonts w:ascii="仿宋_GB2312" w:eastAsia="仿宋_GB2312"/>
          <w:sz w:val="31"/>
        </w:rPr>
        <w:t xml:space="preserve">                        </w:t>
      </w:r>
      <w:r>
        <w:rPr>
          <w:rFonts w:hint="eastAsia" w:ascii="仿宋_GB2312" w:eastAsia="仿宋_GB2312"/>
          <w:sz w:val="31"/>
          <w:lang w:val="en-US" w:eastAsia="zh-CN"/>
        </w:rPr>
        <w:t xml:space="preserve">           </w:t>
      </w:r>
      <w:r>
        <w:rPr>
          <w:rFonts w:ascii="仿宋_GB2312" w:eastAsia="仿宋_GB2312"/>
          <w:sz w:val="31"/>
        </w:rPr>
        <w:t>2021年</w:t>
      </w:r>
      <w:r>
        <w:rPr>
          <w:rFonts w:hint="eastAsia" w:ascii="仿宋_GB2312" w:eastAsia="仿宋_GB2312"/>
          <w:sz w:val="31"/>
          <w:lang w:val="en-US" w:eastAsia="zh-CN"/>
        </w:rPr>
        <w:t>6</w:t>
      </w:r>
      <w:r>
        <w:rPr>
          <w:rFonts w:ascii="仿宋_GB2312" w:eastAsia="仿宋_GB2312"/>
          <w:sz w:val="31"/>
        </w:rPr>
        <w:t>月</w:t>
      </w:r>
      <w:r>
        <w:rPr>
          <w:rFonts w:hint="eastAsia" w:ascii="仿宋_GB2312" w:eastAsia="仿宋_GB2312"/>
          <w:sz w:val="31"/>
          <w:lang w:val="en-US" w:eastAsia="zh-CN"/>
        </w:rPr>
        <w:t>4</w:t>
      </w:r>
      <w:r>
        <w:rPr>
          <w:rFonts w:ascii="仿宋_GB2312" w:eastAsia="仿宋_GB2312"/>
          <w:sz w:val="31"/>
        </w:rPr>
        <w:t>日</w:t>
      </w:r>
    </w:p>
    <w:p>
      <w:pPr>
        <w:widowControl w:val="0"/>
        <w:snapToGrid w:val="0"/>
        <w:spacing w:before="0" w:after="0" w:line="555" w:lineRule="atLeast"/>
        <w:ind w:left="0" w:right="0" w:firstLine="623"/>
        <w:jc w:val="both"/>
        <w:textAlignment w:val="center"/>
        <w:rPr>
          <w:rFonts w:hint="eastAsia"/>
        </w:rPr>
      </w:pPr>
      <w:r>
        <w:rPr>
          <w:rFonts w:ascii="仿宋_GB2312" w:eastAsia="仿宋_GB2312"/>
          <w:sz w:val="31"/>
        </w:rPr>
        <w:t>（此件公开发布）</w:t>
      </w:r>
    </w:p>
    <w:p>
      <w:pPr>
        <w:widowControl w:val="0"/>
        <w:snapToGrid w:val="0"/>
        <w:spacing w:before="0" w:after="0" w:line="674" w:lineRule="atLeast"/>
        <w:ind w:left="0" w:right="0" w:firstLine="0"/>
        <w:jc w:val="center"/>
        <w:textAlignment w:val="center"/>
        <w:rPr>
          <w:rFonts w:ascii="方正小标宋简体" w:eastAsia="方正小标宋简体"/>
          <w:i w:val="0"/>
          <w:color w:val="000000"/>
          <w:spacing w:val="0"/>
          <w:sz w:val="42"/>
          <w:shd w:val="clear" w:color="auto" w:fill="auto"/>
        </w:rPr>
      </w:pPr>
    </w:p>
    <w:p>
      <w:pPr>
        <w:widowControl w:val="0"/>
        <w:snapToGrid w:val="0"/>
        <w:spacing w:before="0" w:after="0" w:line="674" w:lineRule="atLeast"/>
        <w:ind w:left="0" w:right="0" w:firstLine="0"/>
        <w:jc w:val="center"/>
        <w:textAlignment w:val="center"/>
        <w:rPr>
          <w:rFonts w:ascii="方正小标宋简体" w:eastAsia="方正小标宋简体"/>
          <w:i w:val="0"/>
          <w:color w:val="000000"/>
          <w:spacing w:val="0"/>
          <w:sz w:val="42"/>
          <w:shd w:val="clear" w:color="auto" w:fill="auto"/>
        </w:rPr>
      </w:pPr>
    </w:p>
    <w:p>
      <w:pPr>
        <w:widowControl w:val="0"/>
        <w:snapToGrid w:val="0"/>
        <w:spacing w:before="0" w:after="0" w:line="674" w:lineRule="atLeast"/>
        <w:ind w:left="0" w:right="0" w:firstLine="0"/>
        <w:jc w:val="center"/>
        <w:textAlignment w:val="center"/>
        <w:rPr>
          <w:rFonts w:ascii="方正小标宋简体" w:eastAsia="方正小标宋简体"/>
          <w:i w:val="0"/>
          <w:color w:val="000000"/>
          <w:spacing w:val="0"/>
          <w:sz w:val="42"/>
          <w:shd w:val="clear" w:color="auto" w:fill="auto"/>
        </w:rPr>
      </w:pPr>
    </w:p>
    <w:p>
      <w:pPr>
        <w:widowControl w:val="0"/>
        <w:snapToGrid w:val="0"/>
        <w:spacing w:before="0" w:after="0" w:line="674" w:lineRule="atLeast"/>
        <w:ind w:left="0" w:right="0" w:firstLine="0"/>
        <w:jc w:val="center"/>
        <w:textAlignment w:val="center"/>
        <w:rPr>
          <w:spacing w:val="0"/>
          <w:shd w:val="clear" w:color="auto" w:fill="auto"/>
        </w:rPr>
      </w:pPr>
      <w:bookmarkStart w:id="0" w:name="_GoBack"/>
      <w:bookmarkEnd w:id="0"/>
      <w:r>
        <w:rPr>
          <w:rFonts w:ascii="方正小标宋简体" w:eastAsia="方正小标宋简体"/>
          <w:i w:val="0"/>
          <w:color w:val="000000"/>
          <w:spacing w:val="0"/>
          <w:sz w:val="42"/>
          <w:shd w:val="clear" w:color="auto" w:fill="auto"/>
        </w:rPr>
        <w:t>中共</w:t>
      </w:r>
      <w:r>
        <w:rPr>
          <w:rFonts w:hint="eastAsia" w:ascii="方正小标宋简体" w:eastAsia="方正小标宋简体"/>
          <w:i w:val="0"/>
          <w:color w:val="000000"/>
          <w:spacing w:val="0"/>
          <w:sz w:val="42"/>
          <w:shd w:val="clear" w:color="auto" w:fill="auto"/>
          <w:lang w:eastAsia="zh-CN"/>
        </w:rPr>
        <w:t>积石山县</w:t>
      </w:r>
      <w:r>
        <w:rPr>
          <w:rFonts w:ascii="方正小标宋简体" w:eastAsia="方正小标宋简体"/>
          <w:i w:val="0"/>
          <w:color w:val="000000"/>
          <w:spacing w:val="0"/>
          <w:sz w:val="42"/>
          <w:shd w:val="clear" w:color="auto" w:fill="auto"/>
        </w:rPr>
        <w:t>人民政府党组</w:t>
      </w:r>
    </w:p>
    <w:p>
      <w:pPr>
        <w:widowControl w:val="0"/>
        <w:snapToGrid w:val="0"/>
        <w:spacing w:before="0" w:after="0" w:line="674" w:lineRule="atLeast"/>
        <w:ind w:left="0" w:right="0" w:firstLine="0"/>
        <w:jc w:val="center"/>
        <w:textAlignment w:val="center"/>
        <w:rPr>
          <w:spacing w:val="0"/>
          <w:shd w:val="clear" w:color="auto" w:fill="auto"/>
        </w:rPr>
      </w:pPr>
      <w:r>
        <w:rPr>
          <w:rFonts w:ascii="方正小标宋简体" w:eastAsia="方正小标宋简体"/>
          <w:i w:val="0"/>
          <w:color w:val="000000"/>
          <w:spacing w:val="0"/>
          <w:sz w:val="42"/>
          <w:shd w:val="clear" w:color="auto" w:fill="auto"/>
        </w:rPr>
        <w:t>理论学习中心组2021年度学习计划</w:t>
      </w:r>
    </w:p>
    <w:p>
      <w:pPr>
        <w:widowControl w:val="0"/>
        <w:snapToGrid w:val="0"/>
        <w:spacing w:before="0" w:after="0" w:line="515" w:lineRule="atLeast"/>
        <w:ind w:left="0" w:right="0" w:firstLine="0"/>
        <w:jc w:val="center"/>
        <w:textAlignment w:val="center"/>
        <w:rPr>
          <w:shd w:val="clear" w:color="auto" w:fill="auto"/>
        </w:rPr>
      </w:pP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仿宋_GB2312" w:eastAsia="仿宋_GB2312"/>
          <w:sz w:val="31"/>
        </w:rPr>
        <w:t>为深入学习贯彻习近平新时代中国特色社会主义思想，根据《中国共产党党委(党组)理论学习中心组学习规则》要求和《中共甘肃省人民政府党组理论学习中心组2021年度学习计划》《中共</w:t>
      </w:r>
      <w:r>
        <w:rPr>
          <w:rFonts w:hint="eastAsia" w:ascii="仿宋_GB2312" w:eastAsia="仿宋_GB2312"/>
          <w:sz w:val="31"/>
          <w:lang w:eastAsia="zh-CN"/>
        </w:rPr>
        <w:t>临夏回族自治州</w:t>
      </w:r>
      <w:r>
        <w:rPr>
          <w:rFonts w:ascii="仿宋_GB2312" w:eastAsia="仿宋_GB2312"/>
          <w:sz w:val="31"/>
        </w:rPr>
        <w:t>人民政府党组理论学习中心组2021年度学习计划》及《</w:t>
      </w:r>
      <w:r>
        <w:rPr>
          <w:rFonts w:hint="eastAsia" w:ascii="仿宋_GB2312" w:eastAsia="仿宋_GB2312"/>
          <w:sz w:val="31"/>
          <w:lang w:eastAsia="zh-CN"/>
        </w:rPr>
        <w:t>县</w:t>
      </w:r>
      <w:r>
        <w:rPr>
          <w:rFonts w:ascii="仿宋_GB2312" w:eastAsia="仿宋_GB2312"/>
          <w:sz w:val="31"/>
        </w:rPr>
        <w:t>委理论学习中心组2021年学习安排》，现制定</w:t>
      </w:r>
      <w:r>
        <w:rPr>
          <w:rFonts w:hint="eastAsia" w:ascii="仿宋_GB2312" w:eastAsia="仿宋_GB2312"/>
          <w:sz w:val="31"/>
          <w:lang w:eastAsia="zh-CN"/>
        </w:rPr>
        <w:t>县</w:t>
      </w:r>
      <w:r>
        <w:rPr>
          <w:rFonts w:ascii="仿宋_GB2312" w:eastAsia="仿宋_GB2312"/>
          <w:sz w:val="31"/>
        </w:rPr>
        <w:t>政府党组理论学习中心组2021年学习计划。</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黑体" w:eastAsia="黑体"/>
          <w:sz w:val="31"/>
        </w:rPr>
        <w:t>一、总体要求</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仿宋_GB2312" w:eastAsia="仿宋_GB2312"/>
          <w:sz w:val="31"/>
        </w:rPr>
        <w:t>坚持不懈学习马克思列宁主义、毛泽东思想和中国特色社会主义理论体系，特别是把学习贯彻习近平新时代中国特色社会主义思想作为首要政治任务，作为中心组学习的主题主线，前后贯通学、及时跟进学，不断在学懂弄通做实上下功夫，努力掌握蕴含其中的立场观点方法、道理学理哲理，做到知其言更知其义、知其然更知其所以然，运用党的科学理论优化思想方法解决思想困惑，检视思想作风和精神状态，牢固树立正确的世界观、人生观、价值观和权力观、政绩观、事业观，使思维方式和精神世界更好适应事业发展需要，切实增强“四个意识”，坚定“四个自信”，做到“两个维护”，以优异成绩庆祝建党100周年</w:t>
      </w:r>
      <w:r>
        <w:rPr>
          <w:rFonts w:hint="eastAsia" w:ascii="仿宋_GB2312" w:eastAsia="仿宋_GB2312"/>
          <w:sz w:val="31"/>
          <w:lang w:eastAsia="zh-CN"/>
        </w:rPr>
        <w:t>及建县</w:t>
      </w:r>
      <w:r>
        <w:rPr>
          <w:rFonts w:hint="eastAsia" w:ascii="仿宋_GB2312" w:eastAsia="仿宋_GB2312"/>
          <w:sz w:val="31"/>
          <w:lang w:val="en-US" w:eastAsia="zh-CN"/>
        </w:rPr>
        <w:t>40周年</w:t>
      </w:r>
      <w:r>
        <w:rPr>
          <w:rFonts w:ascii="仿宋_GB2312" w:eastAsia="仿宋_GB2312"/>
          <w:sz w:val="31"/>
        </w:rPr>
        <w:t>。</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黑体" w:eastAsia="黑体"/>
          <w:sz w:val="31"/>
        </w:rPr>
        <w:t>二、学习专题</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仿宋_GB2312" w:eastAsia="仿宋_GB2312"/>
          <w:sz w:val="31"/>
        </w:rPr>
        <w:t>2021年，在按照要求参加</w:t>
      </w:r>
      <w:r>
        <w:rPr>
          <w:rFonts w:hint="eastAsia" w:ascii="仿宋_GB2312" w:eastAsia="仿宋_GB2312"/>
          <w:sz w:val="31"/>
          <w:lang w:eastAsia="zh-CN"/>
        </w:rPr>
        <w:t>县</w:t>
      </w:r>
      <w:r>
        <w:rPr>
          <w:rFonts w:ascii="仿宋_GB2312" w:eastAsia="仿宋_GB2312"/>
          <w:sz w:val="31"/>
        </w:rPr>
        <w:t>委理论学习中心组学习内容的同时，通过</w:t>
      </w:r>
      <w:r>
        <w:rPr>
          <w:rFonts w:hint="eastAsia" w:ascii="仿宋_GB2312" w:eastAsia="仿宋_GB2312"/>
          <w:sz w:val="31"/>
          <w:lang w:eastAsia="zh-CN"/>
        </w:rPr>
        <w:t>县</w:t>
      </w:r>
      <w:r>
        <w:rPr>
          <w:rFonts w:ascii="仿宋_GB2312" w:eastAsia="仿宋_GB2312"/>
          <w:sz w:val="31"/>
        </w:rPr>
        <w:t>政府党组会议套开</w:t>
      </w:r>
      <w:r>
        <w:rPr>
          <w:rFonts w:hint="eastAsia" w:ascii="仿宋_GB2312" w:eastAsia="仿宋_GB2312"/>
          <w:sz w:val="31"/>
          <w:lang w:eastAsia="zh-CN"/>
        </w:rPr>
        <w:t>县</w:t>
      </w:r>
      <w:r>
        <w:rPr>
          <w:rFonts w:ascii="仿宋_GB2312" w:eastAsia="仿宋_GB2312"/>
          <w:sz w:val="31"/>
        </w:rPr>
        <w:t>政府党组理论学习中心组学习会议、邀请相关领导或专家作专题辅导报告等形式，集中学习研讨14个专题。</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（一）学习习近平新时代中国特色社会主义思想。</w:t>
      </w:r>
      <w:r>
        <w:rPr>
          <w:rFonts w:ascii="仿宋_GB2312" w:eastAsia="仿宋_GB2312"/>
          <w:sz w:val="31"/>
        </w:rPr>
        <w:t>深入学习《习近平谈治国理政》(第一至第三卷)，用好《习近平新时代中国特色社会主义思想学习纲要》和《习近平新时代中国特色社会主义思想学习问答》等重要理论读物，深刻认识和领会其时代意义、理论意义、实践意义、世界意义，深刻理解其核心要义、精神实质、丰富内涵、实践要求，强读强记，常学常新，做到学、思、用贯通，知、信、行统一。深入学习领会习近平新时代中国特色社会主义经济思想、习近平法治思想、习近平生态文明思想、习近平强军思想、习近平外交思想和习近平总书记关于党和国家工作系列重要论述，增强“四个意识”、坚定“四个自信”、做到“两个维护”，严守党的政治纪律和政治规矩，始终在政治立场、政治方向、政治原则、政治道路上同党中央保持高度一致。</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（二）学习领会习近平总书记关于学习党史的重要论述。</w:t>
      </w:r>
      <w:r>
        <w:rPr>
          <w:rFonts w:ascii="仿宋_GB2312" w:eastAsia="仿宋_GB2312"/>
          <w:sz w:val="31"/>
        </w:rPr>
        <w:t>围绕党史学习教育，认真学习《习近平论中国共产党历史》《毛泽东、邓小平、江泽民、胡锦涛关于中国共产党历史论述摘编》《习近平新时代中国特色社会主义思想学习问答》《中国共产党简史》，</w:t>
      </w:r>
      <w:r>
        <w:rPr>
          <w:rFonts w:ascii="仿宋_GB2312" w:hAnsi="Times New Roman" w:eastAsia="仿宋_GB2312" w:cs="Times New Roman"/>
          <w:b w:val="0"/>
          <w:i w:val="0"/>
          <w:strike w:val="0"/>
          <w:dstrike w:val="0"/>
          <w:sz w:val="31"/>
        </w:rPr>
        <w:t>以及《中国共产党的100年》《中华人民共和国简史》《改革开放简史》《社会主义发展简史》</w:t>
      </w:r>
      <w:r>
        <w:rPr>
          <w:rFonts w:ascii="仿宋_GB2312" w:eastAsia="仿宋_GB2312"/>
          <w:sz w:val="31"/>
        </w:rPr>
        <w:t>等篇目，坚持学习党史与学习新中国史、改革开放史、社会主义发展史相贯通，从党的辉煌成就、艰辛历程、历史经验、优良传统中深刻领悟中国共产党为什么能、马克思主义为什么行、中国特色社会主义为什么好等道理，弄清楚其中历史逻辑、理论逻辑、实践逻辑。深刻领悟坚持中国共产党领导的历史必然性，坚定对党的领导的自信;深刻领悟马克思主义及其中国化创新理论的真理性，增强自觉贯彻落实党的创新理论的坚定性;深刻领悟中国特色社会主义道路的正确性，坚定不移走中国特色社会主义这条唯一正确的道路，做到学史明理、学史增信、学史崇德、学史力行。</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（三）学习习近平总书记对甘肃重要讲话和指示精神。</w:t>
      </w:r>
      <w:r>
        <w:rPr>
          <w:rFonts w:ascii="仿宋_GB2312" w:eastAsia="仿宋_GB2312"/>
          <w:sz w:val="31"/>
        </w:rPr>
        <w:t>全面系统学，及时跟进学，深入思考学，联系实际学，深刻认识习近平总书记对甘肃重要讲话和指示精神寄寓甘肃发展的殷切厚望，为建设</w:t>
      </w:r>
      <w:r>
        <w:rPr>
          <w:rFonts w:hint="eastAsia" w:ascii="仿宋_GB2312" w:eastAsia="仿宋_GB2312"/>
          <w:sz w:val="31"/>
          <w:lang w:val="en-US" w:eastAsia="zh-CN"/>
        </w:rPr>
        <w:t>积石山</w:t>
      </w:r>
      <w:r>
        <w:rPr>
          <w:rFonts w:ascii="仿宋_GB2312" w:eastAsia="仿宋_GB2312"/>
          <w:sz w:val="31"/>
        </w:rPr>
        <w:t>、发展</w:t>
      </w:r>
      <w:r>
        <w:rPr>
          <w:rFonts w:hint="eastAsia" w:ascii="仿宋_GB2312" w:eastAsia="仿宋_GB2312"/>
          <w:sz w:val="31"/>
          <w:lang w:val="en-US" w:eastAsia="zh-CN"/>
        </w:rPr>
        <w:t>积石山</w:t>
      </w:r>
      <w:r>
        <w:rPr>
          <w:rFonts w:ascii="仿宋_GB2312" w:eastAsia="仿宋_GB2312"/>
          <w:sz w:val="31"/>
        </w:rPr>
        <w:t>提供了科学理念、正确思维和根本方法。对标对表习近平总书记指引的方向和路径，接续做好脱贫攻坚成果巩固和乡村振兴；对标对表习近平总书记的把脉定向，进一步夯实高质量发展的支撑基础;对标对表习近平总书记的告诫教诲，进一步筑牢生态保护的安全屏障;对标对表习近平总书记的关切牵挂，进一步增进民生福祉的实惠实效;对标对表习近平总书记全面从严治党的要求，进一步强化行政用权的监督管理，不断把</w:t>
      </w:r>
      <w:r>
        <w:rPr>
          <w:rFonts w:hint="eastAsia" w:ascii="仿宋_GB2312" w:eastAsia="仿宋_GB2312"/>
          <w:sz w:val="31"/>
          <w:lang w:eastAsia="zh-CN"/>
        </w:rPr>
        <w:t>积石山</w:t>
      </w:r>
      <w:r>
        <w:rPr>
          <w:rFonts w:ascii="仿宋_GB2312" w:eastAsia="仿宋_GB2312"/>
          <w:sz w:val="31"/>
        </w:rPr>
        <w:t>各项事业推向前进。</w:t>
      </w:r>
    </w:p>
    <w:p>
      <w:pPr>
        <w:pStyle w:val="6"/>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40" w:lineRule="exact"/>
        <w:ind w:left="0" w:right="0" w:firstLine="622" w:firstLineChars="200"/>
        <w:jc w:val="left"/>
        <w:rPr>
          <w:rFonts w:hint="default" w:ascii="仿宋_GB2312" w:hAnsi="Times New Roman" w:eastAsia="仿宋_GB2312" w:cs="Times New Roman"/>
          <w:b w:val="0"/>
          <w:i w:val="0"/>
          <w:strike w:val="0"/>
          <w:dstrike w:val="0"/>
          <w:color w:val="000000"/>
          <w:kern w:val="0"/>
          <w:sz w:val="31"/>
          <w:szCs w:val="20"/>
          <w:u w:val="none" w:color="000000"/>
          <w:vertAlign w:val="baseline"/>
          <w:lang w:val="en-US" w:eastAsia="zh-CN"/>
        </w:rPr>
      </w:pPr>
      <w:r>
        <w:rPr>
          <w:rFonts w:ascii="楷体_GB2312" w:eastAsia="楷体_GB2312"/>
          <w:b/>
          <w:bCs/>
          <w:sz w:val="31"/>
        </w:rPr>
        <w:t>（四）学习习近平总书记关于立足新发展阶段、贯彻新发展理念、构建新发展格局的重要论述。</w:t>
      </w:r>
      <w:r>
        <w:rPr>
          <w:rFonts w:hint="default" w:ascii="仿宋_GB2312" w:hAnsi="Times New Roman" w:eastAsia="仿宋_GB2312" w:cs="Times New Roman"/>
          <w:b w:val="0"/>
          <w:i w:val="0"/>
          <w:strike w:val="0"/>
          <w:dstrike w:val="0"/>
          <w:color w:val="000000"/>
          <w:kern w:val="0"/>
          <w:sz w:val="31"/>
          <w:szCs w:val="20"/>
          <w:u w:val="none" w:color="000000"/>
          <w:vertAlign w:val="baseline"/>
          <w:lang w:val="en-US" w:eastAsia="zh-CN"/>
        </w:rPr>
        <w:t>全面准确学习习近平总书记在党的十九届五中全会及省部级主要领导干部学习贯彻党的十九届五中全会精神专题研讨班上的重要讲话精神，深刻把握进入新发展阶段的方位特征，深度理解贯彻新发展理念的核心要义，深入找准融入新发展格局的路径方法。通过深入学习，切实解决影响构建新发展格局、实现高质量发展的突出问题和短板弱项，立足新发展阶段，贯彻新发展理念，融入新发展格局，推动高质量发展。按照</w:t>
      </w:r>
      <w:r>
        <w:rPr>
          <w:rFonts w:hint="eastAsia" w:ascii="仿宋_GB2312" w:hAnsi="Times New Roman" w:eastAsia="仿宋_GB2312" w:cs="Times New Roman"/>
          <w:b w:val="0"/>
          <w:i w:val="0"/>
          <w:strike w:val="0"/>
          <w:dstrike w:val="0"/>
          <w:color w:val="000000"/>
          <w:kern w:val="0"/>
          <w:sz w:val="31"/>
          <w:szCs w:val="20"/>
          <w:u w:val="none" w:color="000000"/>
          <w:vertAlign w:val="baseline"/>
          <w:lang w:val="en-US" w:eastAsia="zh-CN"/>
        </w:rPr>
        <w:t>县</w:t>
      </w:r>
      <w:r>
        <w:rPr>
          <w:rFonts w:hint="default" w:ascii="仿宋_GB2312" w:hAnsi="Times New Roman" w:eastAsia="仿宋_GB2312" w:cs="Times New Roman"/>
          <w:b w:val="0"/>
          <w:i w:val="0"/>
          <w:strike w:val="0"/>
          <w:dstrike w:val="0"/>
          <w:color w:val="000000"/>
          <w:kern w:val="0"/>
          <w:sz w:val="31"/>
          <w:szCs w:val="20"/>
          <w:u w:val="none" w:color="000000"/>
          <w:vertAlign w:val="baseline"/>
          <w:lang w:val="en-US" w:eastAsia="zh-CN"/>
        </w:rPr>
        <w:t>委</w:t>
      </w:r>
      <w:r>
        <w:rPr>
          <w:rFonts w:hint="eastAsia" w:ascii="仿宋_GB2312" w:hAnsi="Times New Roman" w:eastAsia="仿宋_GB2312" w:cs="Times New Roman"/>
          <w:b w:val="0"/>
          <w:i w:val="0"/>
          <w:strike w:val="0"/>
          <w:dstrike w:val="0"/>
          <w:color w:val="000000"/>
          <w:kern w:val="0"/>
          <w:sz w:val="31"/>
          <w:szCs w:val="20"/>
          <w:u w:val="none" w:color="000000"/>
          <w:vertAlign w:val="baseline"/>
          <w:lang w:val="en-US" w:eastAsia="zh-CN"/>
        </w:rPr>
        <w:t>九</w:t>
      </w:r>
      <w:r>
        <w:rPr>
          <w:rFonts w:hint="default" w:ascii="仿宋_GB2312" w:hAnsi="Times New Roman" w:eastAsia="仿宋_GB2312" w:cs="Times New Roman"/>
          <w:b w:val="0"/>
          <w:i w:val="0"/>
          <w:strike w:val="0"/>
          <w:dstrike w:val="0"/>
          <w:color w:val="000000"/>
          <w:kern w:val="0"/>
          <w:sz w:val="31"/>
          <w:szCs w:val="20"/>
          <w:u w:val="none" w:color="000000"/>
          <w:vertAlign w:val="baseline"/>
          <w:lang w:val="en-US" w:eastAsia="zh-CN"/>
        </w:rPr>
        <w:t>届</w:t>
      </w:r>
      <w:r>
        <w:rPr>
          <w:rFonts w:hint="eastAsia" w:ascii="仿宋_GB2312" w:hAnsi="Times New Roman" w:eastAsia="仿宋_GB2312" w:cs="Times New Roman"/>
          <w:b w:val="0"/>
          <w:i w:val="0"/>
          <w:strike w:val="0"/>
          <w:dstrike w:val="0"/>
          <w:color w:val="000000"/>
          <w:kern w:val="0"/>
          <w:sz w:val="31"/>
          <w:szCs w:val="20"/>
          <w:u w:val="none" w:color="000000"/>
          <w:vertAlign w:val="baseline"/>
          <w:lang w:val="en-US" w:eastAsia="zh-CN"/>
        </w:rPr>
        <w:t>十二次</w:t>
      </w:r>
      <w:r>
        <w:rPr>
          <w:rFonts w:hint="default" w:ascii="仿宋_GB2312" w:hAnsi="Times New Roman" w:eastAsia="仿宋_GB2312" w:cs="Times New Roman"/>
          <w:b w:val="0"/>
          <w:i w:val="0"/>
          <w:strike w:val="0"/>
          <w:dstrike w:val="0"/>
          <w:color w:val="000000"/>
          <w:kern w:val="0"/>
          <w:sz w:val="31"/>
          <w:szCs w:val="20"/>
          <w:u w:val="none" w:color="000000"/>
          <w:vertAlign w:val="baseline"/>
          <w:lang w:val="en-US" w:eastAsia="zh-CN"/>
        </w:rPr>
        <w:t>次全会暨</w:t>
      </w:r>
      <w:r>
        <w:rPr>
          <w:rFonts w:hint="eastAsia" w:ascii="仿宋_GB2312" w:hAnsi="Times New Roman" w:eastAsia="仿宋_GB2312" w:cs="Times New Roman"/>
          <w:b w:val="0"/>
          <w:i w:val="0"/>
          <w:strike w:val="0"/>
          <w:dstrike w:val="0"/>
          <w:color w:val="000000"/>
          <w:kern w:val="0"/>
          <w:sz w:val="31"/>
          <w:szCs w:val="20"/>
          <w:u w:val="none" w:color="000000"/>
          <w:vertAlign w:val="baseline"/>
          <w:lang w:val="en-US" w:eastAsia="zh-CN"/>
        </w:rPr>
        <w:t>县</w:t>
      </w:r>
      <w:r>
        <w:rPr>
          <w:rFonts w:hint="default" w:ascii="仿宋_GB2312" w:hAnsi="Times New Roman" w:eastAsia="仿宋_GB2312" w:cs="Times New Roman"/>
          <w:b w:val="0"/>
          <w:i w:val="0"/>
          <w:strike w:val="0"/>
          <w:dstrike w:val="0"/>
          <w:color w:val="000000"/>
          <w:kern w:val="0"/>
          <w:sz w:val="31"/>
          <w:szCs w:val="20"/>
          <w:u w:val="none" w:color="000000"/>
          <w:vertAlign w:val="baseline"/>
          <w:lang w:val="en-US" w:eastAsia="zh-CN"/>
        </w:rPr>
        <w:t>委经济工作会议的部署要求，以巩固拓展脱贫攻坚成果同乡村振兴有效衔接和40周年县庆统揽工作全局，按照聚焦“三个重点”（即：农民增收、群众生活品质提升、党的建设）、做好“九篇文章”（即：产业倍增、促进就业、全域乡村旅游、乡村功能完善、服务能力提升、风貌改善、村级党组织建设、乡村能人培育、群众内生动力激发）、实现“三个目标”（即：在巩固拓展脱贫攻坚成果同乡村振兴有效衔接上走在前列、在产业扶贫向产业振兴转变上走在前列、在农村人居环境整治向实施乡村建设行动转变上走在前列）的工作思路，凝心聚力，砥砺前行，力争在全州文化旅游业、食用菌中药材蔬菜等特色种植业、畜牧产业、沿黄沿洮工业产业、临夏美食产业“五个百亿级产业”中占有一定份额，在全州创建脱贫攻坚与乡村振兴有效衔接的样板区、高质量发展的奋进区、黄河上游生态保护的先行区、民族团结进步创建和我国宗教中国化的示范区、民营经济发展的繁荣区等“五个区”进程中作出贡献，确保“十四五”发展开好局、起好步，为奋力开启</w:t>
      </w:r>
      <w:r>
        <w:rPr>
          <w:rFonts w:hint="eastAsia" w:ascii="仿宋_GB2312" w:hAnsi="Times New Roman" w:eastAsia="仿宋_GB2312" w:cs="Times New Roman"/>
          <w:b w:val="0"/>
          <w:i w:val="0"/>
          <w:strike w:val="0"/>
          <w:dstrike w:val="0"/>
          <w:color w:val="000000"/>
          <w:kern w:val="0"/>
          <w:sz w:val="31"/>
          <w:szCs w:val="20"/>
          <w:u w:val="none" w:color="000000"/>
          <w:vertAlign w:val="baseline"/>
          <w:lang w:val="en-US" w:eastAsia="zh-CN"/>
        </w:rPr>
        <w:t>积石山</w:t>
      </w:r>
      <w:r>
        <w:rPr>
          <w:rFonts w:hint="default" w:ascii="仿宋_GB2312" w:hAnsi="Times New Roman" w:eastAsia="仿宋_GB2312" w:cs="Times New Roman"/>
          <w:b w:val="0"/>
          <w:i w:val="0"/>
          <w:strike w:val="0"/>
          <w:dstrike w:val="0"/>
          <w:color w:val="000000"/>
          <w:kern w:val="0"/>
          <w:sz w:val="31"/>
          <w:szCs w:val="20"/>
          <w:u w:val="none" w:color="000000"/>
          <w:vertAlign w:val="baseline"/>
          <w:lang w:val="en-US" w:eastAsia="zh-CN"/>
        </w:rPr>
        <w:t>全面建设社会主义现代化新征程提供有力思想保证</w:t>
      </w:r>
      <w:r>
        <w:rPr>
          <w:rFonts w:hint="eastAsia" w:ascii="仿宋_GB2312" w:hAnsi="Times New Roman" w:eastAsia="仿宋_GB2312" w:cs="Times New Roman"/>
          <w:b w:val="0"/>
          <w:i w:val="0"/>
          <w:strike w:val="0"/>
          <w:dstrike w:val="0"/>
          <w:color w:val="000000"/>
          <w:kern w:val="0"/>
          <w:sz w:val="31"/>
          <w:szCs w:val="20"/>
          <w:u w:val="none" w:color="000000"/>
          <w:vertAlign w:val="baseline"/>
          <w:lang w:val="en-US" w:eastAsia="zh-CN"/>
        </w:rPr>
        <w:t>。</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（五）学习习近平总书记在庆祝中国共产党成立100周年大会上的重要讲话精神。</w:t>
      </w:r>
      <w:r>
        <w:rPr>
          <w:rFonts w:ascii="仿宋_GB2312" w:eastAsia="仿宋_GB2312"/>
          <w:sz w:val="31"/>
        </w:rPr>
        <w:t>深刻认识习近平总书记重要讲话的重大历史意义和时代内涵，全面系统把握习近平总书记重要讲话对新的历史起点上推进党和国家事业的新部署新要求，以习近平总书记深厚的人民情怀为典范，始终坚持以人民为中心的发展思想，不忘初心、牢记使命，凝心聚力、攻坚克难，更加用心用力解决民生突出问题，努力促进共同富裕，提升群众生活品质，让人民群众过上更加美好的现代化生活。</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（六）深入学习领会习近平法治思想和一系列重要党内法规。</w:t>
      </w:r>
      <w:r>
        <w:rPr>
          <w:rFonts w:ascii="仿宋_GB2312" w:eastAsia="仿宋_GB2312"/>
          <w:sz w:val="31"/>
        </w:rPr>
        <w:t>围绕建设中国特色社会主义法治体系、建设社会主义法治国家的总目标，坚持党的领导、人民当家作主、依法治国有机统一，解决法治领域突出问题为着力点，坚定不移走中国特色社会主义法治道路，认真学习领会、吃透基本精神、把握核心要义、明确工作要求，切实把习近平法治思想贯彻落实到全面依法治国全过程。严格遵守和执行党内法规，推动党内法规在全</w:t>
      </w:r>
      <w:r>
        <w:rPr>
          <w:rFonts w:hint="eastAsia" w:ascii="仿宋_GB2312" w:eastAsia="仿宋_GB2312"/>
          <w:sz w:val="31"/>
          <w:lang w:eastAsia="zh-CN"/>
        </w:rPr>
        <w:t>县</w:t>
      </w:r>
      <w:r>
        <w:rPr>
          <w:rFonts w:ascii="仿宋_GB2312" w:eastAsia="仿宋_GB2312"/>
          <w:sz w:val="31"/>
        </w:rPr>
        <w:t>党的各项工作中落地生根。不断强化制度意识，维护制度权威，做制度执行的表率，提升依法决策、依法行政、依法管理能力，切实增强贯彻落实的思想自觉和行动自觉。</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（七）深入学习领会习近平总书记关于意识形态工作、民族工作、宗教工作的重要论述。</w:t>
      </w:r>
      <w:r>
        <w:rPr>
          <w:rFonts w:ascii="仿宋_GB2312" w:eastAsia="仿宋_GB2312"/>
          <w:sz w:val="31"/>
        </w:rPr>
        <w:t>深刻认识马克思主义是社会主义意识形态的旗帜和灵魂，必须始终坚持马克思主义在意识形态领域指导地位的根本制度，自觉坚定主心骨、把准定盘星，筑牢共同思想基础，凝聚强大精神动力。围绕建党100周年等重要时间节点，认真做好政府系统意识形态领域风险预警研判，旗帜鲜明批驳历史虚无主义等错误思潮，稳妥管控抹黑党的领导、抹杀小康成就、唱空发展前景等负面论调，不断壮大积极健康向上的主流思想舆论。深入贯彻落实《党委(党组)意识形态工作责任制实施办法》，强化各级党委主体责任，牢牢掌握意识形态工作领导权、主动权和话语权，深刻认识意识形态和宗教工作规律，围绕“共同团结奋斗、共同繁荣发展”的民族工作主题，坚持开展民族团结进步教育，弘扬社会主义核心价值观，使全</w:t>
      </w:r>
      <w:r>
        <w:rPr>
          <w:rFonts w:hint="eastAsia" w:ascii="仿宋_GB2312" w:eastAsia="仿宋_GB2312"/>
          <w:sz w:val="31"/>
          <w:lang w:eastAsia="zh-CN"/>
        </w:rPr>
        <w:t>县</w:t>
      </w:r>
      <w:r>
        <w:rPr>
          <w:rFonts w:ascii="仿宋_GB2312" w:eastAsia="仿宋_GB2312"/>
          <w:sz w:val="31"/>
        </w:rPr>
        <w:t>各族人民在理想信念、价值理念、道德观念上紧紧团结在一起。坚持忧患意识和底线思维，着力防范化解重大风险。</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（八）深入学习领会习近平总书记关于发扬斗争精神、防范风险挑战以及总体国家安全观的重要论述。</w:t>
      </w:r>
      <w:r>
        <w:rPr>
          <w:rFonts w:ascii="仿宋_GB2312" w:eastAsia="仿宋_GB2312"/>
          <w:sz w:val="31"/>
        </w:rPr>
        <w:t>深刻认识坚持斗争、不懈斗争、在斗争中前进是中国共产党人的本色，越是前景光明，越是要增强忧患意识、防范风险挑战，勇于进行具有许多新的历史特点的伟大斗争;深刻认识世界百年未有之大变局进入加速演变期，错综复杂的国际环境带来新矛盾新挑战，我国已转向高质量发展阶段，社会主要矛盾变化带来新特征新要求，我国发展仍处于重要战略机遇期，但机遇和挑战都有新的变化。坚持统筹中华民族伟大复兴战略全局和世界百年未有之大变局，发扬斗争精神，增强机遇意识和风险意识，准确识变、科学应变、主动求变，善于在危机中育先机、于变局中开新局，抓住机遇，应对挑战，趋利避害，奋勇前进。深入学习领会习近平总书记关于总体国家安全观的重要论述，深刻认识总体国家安全观所蕴含的时代性与实践性，充分认清坚持总体国家安全观和加强国家安全工作的重大意义，切实把贯彻落实总体国家安全观与服务国家战略、疫情防控和各项工作结合起来，牢牢把握经济社会发展主动权。</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（九）深入学习领会习近平总书记关于巩固拓展脱贫攻坚成果同乡村振兴有效衔接的重要论述。</w:t>
      </w:r>
      <w:r>
        <w:rPr>
          <w:rFonts w:ascii="仿宋_GB2312" w:eastAsia="仿宋_GB2312"/>
          <w:sz w:val="31"/>
        </w:rPr>
        <w:t>深刻认识脱贫攻坚是乡村振兴的重要前提和优先任务，深刻理解乡村振兴是实现巩固脱贫攻坚成果接续向前发展，最终实现共同富裕的必然要求，深刻把握“三农”工作要逐步实现从集中资源支持脱贫攻坚，向全面推进乡村振兴平稳过渡的这一历史性转移。深入研究有关问题，不断优化工作方式，加强动态监测帮扶，落实“四个不摘”要求，跟踪收入变化和“两不愁三保障”巩固情况，做到工作不留空档，政策不留空白，推动两张“施工图”有效对接，以乡村经济社会的全面发展确保脱贫成果更可持续、更有保障，为不断提高推进乡村振兴的能力和水平、共同绘就全</w:t>
      </w:r>
      <w:r>
        <w:rPr>
          <w:rFonts w:hint="eastAsia" w:ascii="仿宋_GB2312" w:eastAsia="仿宋_GB2312"/>
          <w:sz w:val="31"/>
          <w:lang w:eastAsia="zh-CN"/>
        </w:rPr>
        <w:t>县</w:t>
      </w:r>
      <w:r>
        <w:rPr>
          <w:rFonts w:ascii="仿宋_GB2312" w:eastAsia="仿宋_GB2312"/>
          <w:sz w:val="31"/>
        </w:rPr>
        <w:t>乡村振兴的壮美画卷提供有力思想保证。</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（十）深入学习领会习近平生态文明思想以及习近平总书记关于黄河流域生态保护和高质量发展的重要论述。</w:t>
      </w:r>
      <w:r>
        <w:rPr>
          <w:rFonts w:ascii="仿宋_GB2312" w:eastAsia="仿宋_GB2312"/>
          <w:sz w:val="31"/>
        </w:rPr>
        <w:t>深刻认识生态文明建设是关系中华民族永续发展的根本大计，深刻理解和把握黄河流域生态保护和高质量发展这一重大国家战略，认真学习贯彻新发展理念，牢固树立尊重自然、顺应自然、保护自然以及“绿水青山就是金山银山”的生态文明理念，坚持节约优先、保护优先、自然恢复为主的方针，加大力度推进全</w:t>
      </w:r>
      <w:r>
        <w:rPr>
          <w:rFonts w:hint="eastAsia" w:ascii="仿宋_GB2312" w:eastAsia="仿宋_GB2312"/>
          <w:sz w:val="31"/>
          <w:lang w:val="en-US" w:eastAsia="zh-CN"/>
        </w:rPr>
        <w:t>县</w:t>
      </w:r>
      <w:r>
        <w:rPr>
          <w:rFonts w:ascii="仿宋_GB2312" w:eastAsia="仿宋_GB2312"/>
          <w:sz w:val="31"/>
        </w:rPr>
        <w:t>生态文明建设，做好黄河流域生态保护和高质量发展相关工作，统筹推进山水林田湖草沙综合治理、系统治理、源头治理，切实肩负起保护好、治理好黄河的“上游责任”，坚决打好污染防治攻坚战，加快构建十大生态产业体系，加快绿色发展崛起，推动形成绿色发展方式和生活方式，有效防范生态环境风险，提高环境治理水平，为加快建设山川秀美新</w:t>
      </w:r>
      <w:r>
        <w:rPr>
          <w:rFonts w:hint="eastAsia" w:ascii="仿宋_GB2312" w:eastAsia="仿宋_GB2312"/>
          <w:sz w:val="31"/>
          <w:lang w:eastAsia="zh-CN"/>
        </w:rPr>
        <w:t>积石</w:t>
      </w:r>
      <w:r>
        <w:rPr>
          <w:rFonts w:ascii="仿宋_GB2312" w:eastAsia="仿宋_GB2312"/>
          <w:sz w:val="31"/>
        </w:rPr>
        <w:t>提供坚强思想保证。</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（十一）深入学习领会习近平总书记关于加强知识产权保护工作的重要论述。</w:t>
      </w:r>
      <w:r>
        <w:rPr>
          <w:rFonts w:ascii="仿宋_GB2312" w:eastAsia="仿宋_GB2312"/>
          <w:sz w:val="31"/>
        </w:rPr>
        <w:t>深刻认识创新是引领发展的第一动力，保护知识产权就是保护创新，全面建设社会主义现代化国家，必须更好推进知识产权保护工作。全面加强知识产权保护工作，加强知识产权保护工作顶层设计，提高知识产权保护工作法治化水平，强化知识产权全链条保护，深化知识产权保护工作体制机制改革，统筹推进知识产权领域的合作与竞争，增强新形势下做好知识产权保护工作的本领，为全</w:t>
      </w:r>
      <w:r>
        <w:rPr>
          <w:rFonts w:hint="eastAsia" w:ascii="仿宋_GB2312" w:eastAsia="仿宋_GB2312"/>
          <w:sz w:val="31"/>
          <w:lang w:eastAsia="zh-CN"/>
        </w:rPr>
        <w:t>县</w:t>
      </w:r>
      <w:r>
        <w:rPr>
          <w:rFonts w:ascii="仿宋_GB2312" w:eastAsia="仿宋_GB2312"/>
          <w:sz w:val="31"/>
        </w:rPr>
        <w:t>把握新发展阶段、贯彻新发展理念、融入新发展格局、推动高质量发展提供有力保障。</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（十二）深入学习领会习近平总书记关于创新驱动发展的重要论述。</w:t>
      </w:r>
      <w:r>
        <w:rPr>
          <w:rFonts w:ascii="仿宋_GB2312" w:eastAsia="仿宋_GB2312"/>
          <w:sz w:val="31"/>
        </w:rPr>
        <w:t>深刻认识科技创新在我国现代化建设全局中的核心地位，把科技自立自强作为国家发展的战略支撑。面向世界科技前沿、面向经济主战场、面向国家重大需求、面向人民生命健康，深入实施创新驱动发展战略。围绕全面塑造发展新优势，创新</w:t>
      </w:r>
      <w:r>
        <w:rPr>
          <w:rFonts w:hint="eastAsia" w:ascii="仿宋_GB2312" w:eastAsia="仿宋_GB2312"/>
          <w:sz w:val="31"/>
          <w:lang w:val="en-US" w:eastAsia="zh-CN"/>
        </w:rPr>
        <w:t>积石山</w:t>
      </w:r>
      <w:r>
        <w:rPr>
          <w:rFonts w:ascii="仿宋_GB2312" w:eastAsia="仿宋_GB2312"/>
          <w:sz w:val="31"/>
        </w:rPr>
        <w:t>建设取得新突破，完善区域创新体系，更好发挥创新平台载体作用，提升企业创新能力，壮大创新人才队伍，完善科技创新体制机制，提升科技创新对我州经济社会发展的支撑力、引领力和推动力。</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（十三）深入学习习近平总书记关于做好考古和历史研究工作以及保护传承弘扬黄河文化的重要论述。</w:t>
      </w:r>
      <w:r>
        <w:rPr>
          <w:rFonts w:ascii="仿宋_GB2312" w:eastAsia="仿宋_GB2312"/>
          <w:sz w:val="31"/>
        </w:rPr>
        <w:t>深刻认识考古工作是展示和构建中华民族历史、中华文明瑰宝的重要工作，为弘扬中华优秀传统文化、增强文化自信提供坚强支撑;深刻理解黄河文化是中华文明的重要组成部分，是中华民族的根和魂，要深入挖掘黄河文化蕴含的时代价值，为实现中华民族伟大复兴的中国梦凝聚精神力量;深入落实习近平总书记在敦煌研究院座谈会上的重要指示要求，加强对我</w:t>
      </w:r>
      <w:r>
        <w:rPr>
          <w:rFonts w:hint="eastAsia" w:ascii="仿宋_GB2312" w:eastAsia="仿宋_GB2312"/>
          <w:sz w:val="31"/>
          <w:lang w:eastAsia="zh-CN"/>
        </w:rPr>
        <w:t>县</w:t>
      </w:r>
      <w:r>
        <w:rPr>
          <w:rFonts w:ascii="仿宋_GB2312" w:eastAsia="仿宋_GB2312"/>
          <w:sz w:val="31"/>
        </w:rPr>
        <w:t>各类历史文化遗产的保护研究，大力传承和弘扬优秀传统文化中的精神力量，进一步增强全</w:t>
      </w:r>
      <w:r>
        <w:rPr>
          <w:rFonts w:hint="eastAsia" w:ascii="仿宋_GB2312" w:eastAsia="仿宋_GB2312"/>
          <w:sz w:val="31"/>
          <w:lang w:eastAsia="zh-CN"/>
        </w:rPr>
        <w:t>县</w:t>
      </w:r>
      <w:r>
        <w:rPr>
          <w:rFonts w:ascii="仿宋_GB2312" w:eastAsia="仿宋_GB2312"/>
          <w:sz w:val="31"/>
        </w:rPr>
        <w:t>广大干部群众的文化自信，为努力谱写加快建设幸福美好新</w:t>
      </w:r>
      <w:r>
        <w:rPr>
          <w:rFonts w:hint="eastAsia" w:ascii="仿宋_GB2312" w:eastAsia="仿宋_GB2312"/>
          <w:sz w:val="31"/>
          <w:lang w:eastAsia="zh-CN"/>
        </w:rPr>
        <w:t>积石</w:t>
      </w:r>
      <w:r>
        <w:rPr>
          <w:rFonts w:ascii="仿宋_GB2312" w:eastAsia="仿宋_GB2312"/>
          <w:sz w:val="31"/>
        </w:rPr>
        <w:t>、不断开创富民兴</w:t>
      </w:r>
      <w:r>
        <w:rPr>
          <w:rFonts w:hint="eastAsia" w:ascii="仿宋_GB2312" w:eastAsia="仿宋_GB2312"/>
          <w:sz w:val="31"/>
          <w:lang w:eastAsia="zh-CN"/>
        </w:rPr>
        <w:t>积</w:t>
      </w:r>
      <w:r>
        <w:rPr>
          <w:rFonts w:ascii="仿宋_GB2312" w:eastAsia="仿宋_GB2312"/>
          <w:sz w:val="31"/>
        </w:rPr>
        <w:t>新局面的时代篇章提供强大精神动力。</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sz w:val="31"/>
        </w:rPr>
        <w:t>（</w:t>
      </w:r>
      <w:r>
        <w:rPr>
          <w:rFonts w:ascii="楷体_GB2312" w:eastAsia="楷体_GB2312"/>
          <w:b/>
          <w:bCs/>
          <w:sz w:val="31"/>
        </w:rPr>
        <w:t>十四）学习领会党的十九届六中全会精神。</w:t>
      </w:r>
      <w:r>
        <w:rPr>
          <w:rFonts w:ascii="仿宋_GB2312" w:eastAsia="仿宋_GB2312"/>
          <w:sz w:val="31"/>
        </w:rPr>
        <w:t>原原本本、全面准确学习领会习近平总书记在党的十九届六中全会上的重要讲话精神，认真研读党的十九届六中全会文件，深刻理解党的十九届六中全会提出的一系列重大理论观点、重大工作部署，自觉把思想和行动统一到讲话精神和全会决策部署上来，确保各项工作按照党中央指引的正确方向坚定前行。</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黑体" w:eastAsia="黑体"/>
          <w:sz w:val="31"/>
        </w:rPr>
        <w:t>三、工作要求</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（一）强化学习自觉。</w:t>
      </w:r>
      <w:r>
        <w:rPr>
          <w:rFonts w:ascii="仿宋_GB2312" w:eastAsia="仿宋_GB2312"/>
          <w:sz w:val="31"/>
        </w:rPr>
        <w:t>始终聚焦政治学习定位，坚持集体学习研讨为主，读原著、学原文、悟原理，往深里走、往实里走、往心里走，把自己摆进去、把职责摆进去、把工作摆进去，切实增强政治判断力、政治领悟力、政治执行力。</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（二）发挥示范作用。</w:t>
      </w:r>
      <w:r>
        <w:rPr>
          <w:rFonts w:hint="eastAsia" w:ascii="仿宋_GB2312" w:eastAsia="仿宋_GB2312"/>
          <w:sz w:val="31"/>
          <w:lang w:eastAsia="zh-CN"/>
        </w:rPr>
        <w:t>县</w:t>
      </w:r>
      <w:r>
        <w:rPr>
          <w:rFonts w:ascii="仿宋_GB2312" w:eastAsia="仿宋_GB2312"/>
          <w:sz w:val="31"/>
        </w:rPr>
        <w:t>政府班子成员以身作则，坚持参加集体学习研讨，认真开展个人自学，在全面系统掌握习近平新时代中国特色社会主义思想上走在前列，为全</w:t>
      </w:r>
      <w:r>
        <w:rPr>
          <w:rFonts w:hint="eastAsia" w:ascii="仿宋_GB2312" w:eastAsia="仿宋_GB2312"/>
          <w:sz w:val="31"/>
          <w:lang w:eastAsia="zh-CN"/>
        </w:rPr>
        <w:t>县</w:t>
      </w:r>
      <w:r>
        <w:rPr>
          <w:rFonts w:ascii="仿宋_GB2312" w:eastAsia="仿宋_GB2312"/>
          <w:sz w:val="31"/>
        </w:rPr>
        <w:t>政府系统广大干部的理论学习作出表率。</w:t>
      </w:r>
    </w:p>
    <w:p>
      <w:pPr>
        <w:keepNext w:val="0"/>
        <w:keepLines w:val="0"/>
        <w:pageBreakBefore w:val="0"/>
        <w:widowControl w:val="0"/>
        <w:kinsoku/>
        <w:wordWrap/>
        <w:overflowPunct/>
        <w:topLinePunct w:val="0"/>
        <w:autoSpaceDE/>
        <w:autoSpaceDN/>
        <w:bidi w:val="0"/>
        <w:adjustRightInd/>
        <w:snapToGrid w:val="0"/>
        <w:spacing w:before="0" w:after="0" w:line="640" w:lineRule="exact"/>
        <w:ind w:left="0" w:right="0" w:firstLine="623"/>
        <w:jc w:val="both"/>
        <w:textAlignment w:val="center"/>
      </w:pPr>
      <w:r>
        <w:rPr>
          <w:rFonts w:ascii="楷体_GB2312" w:eastAsia="楷体_GB2312"/>
          <w:b/>
          <w:bCs/>
          <w:sz w:val="31"/>
        </w:rPr>
        <w:t>（三）注重学习实效。</w:t>
      </w:r>
      <w:r>
        <w:rPr>
          <w:rFonts w:ascii="仿宋_GB2312" w:eastAsia="仿宋_GB2312"/>
          <w:sz w:val="31"/>
        </w:rPr>
        <w:t>坚持理论联系实际，以贯彻落实习近平总书记对甘肃重要讲话和指示精神为统揽和主线，紧密结合</w:t>
      </w:r>
      <w:r>
        <w:rPr>
          <w:rFonts w:hint="eastAsia" w:ascii="仿宋_GB2312" w:eastAsia="仿宋_GB2312"/>
          <w:sz w:val="31"/>
          <w:lang w:eastAsia="zh-CN"/>
        </w:rPr>
        <w:t>积石山</w:t>
      </w:r>
      <w:r>
        <w:rPr>
          <w:rFonts w:ascii="仿宋_GB2312" w:eastAsia="仿宋_GB2312"/>
          <w:sz w:val="31"/>
        </w:rPr>
        <w:t>发展实际，认真谋划“十四五”时期</w:t>
      </w:r>
      <w:r>
        <w:rPr>
          <w:rFonts w:hint="eastAsia" w:ascii="仿宋_GB2312" w:eastAsia="仿宋_GB2312"/>
          <w:sz w:val="31"/>
          <w:lang w:eastAsia="zh-CN"/>
        </w:rPr>
        <w:t>积石山</w:t>
      </w:r>
      <w:r>
        <w:rPr>
          <w:rFonts w:ascii="仿宋_GB2312" w:eastAsia="仿宋_GB2312"/>
          <w:sz w:val="31"/>
        </w:rPr>
        <w:t>发展，深入研究事关全</w:t>
      </w:r>
      <w:r>
        <w:rPr>
          <w:rFonts w:hint="eastAsia" w:ascii="仿宋_GB2312" w:eastAsia="仿宋_GB2312"/>
          <w:sz w:val="31"/>
          <w:lang w:eastAsia="zh-CN"/>
        </w:rPr>
        <w:t>县</w:t>
      </w:r>
      <w:r>
        <w:rPr>
          <w:rFonts w:ascii="仿宋_GB2312" w:eastAsia="仿宋_GB2312"/>
          <w:sz w:val="31"/>
        </w:rPr>
        <w:t>发展的重大事项，把学习成果不断转化为解决实际问题、推动实际工作的过硬本领和生动实践。</w:t>
      </w:r>
    </w:p>
    <w:p/>
    <w:p>
      <w:pPr>
        <w:pStyle w:val="2"/>
        <w:rPr>
          <w:rFonts w:hint="eastAsia"/>
          <w:lang w:val="en-US" w:eastAsia="zh-CN"/>
        </w:rPr>
      </w:pPr>
    </w:p>
    <w:sectPr>
      <w:footerReference r:id="rId3" w:type="default"/>
      <w:pgSz w:w="11906" w:h="16838"/>
      <w:pgMar w:top="1417" w:right="1304" w:bottom="1417"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445135" cy="2305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4"/>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- 1 -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in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ziEn0QAAAAMBAAAPAAAAAAAAAAEAIAAAACIAAABkcnMvZG93&#10;bnJldi54bWxQSwECFAAUAAAACACHTuJAsaCX/M4BAACXAwAADgAAAAAAAAABACAAAAAgAQAAZHJz&#10;L2Uyb0RvYy54bWxQSwUGAAAAAAYABgBZAQAAYAUAAAAA&#10;">
              <v:fill on="f" focussize="0,0"/>
              <v:stroke on="f"/>
              <v:imagedata o:title=""/>
              <o:lock v:ext="edit" aspectratio="f"/>
              <v:textbox inset="0mm,0mm,0mm,0mm" style="mso-fit-shape-to-text:t;">
                <w:txbxContent>
                  <w:p>
                    <w:pPr>
                      <w:pStyle w:val="4"/>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- 1 -</w:t>
                    </w:r>
                    <w:r>
                      <w:rPr>
                        <w:rFonts w:hint="eastAsia" w:ascii="仿宋_GB2312" w:eastAsia="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B0ACE"/>
    <w:rsid w:val="000A6B28"/>
    <w:rsid w:val="004E2070"/>
    <w:rsid w:val="00C81B86"/>
    <w:rsid w:val="00F02B34"/>
    <w:rsid w:val="00FE6E43"/>
    <w:rsid w:val="01912249"/>
    <w:rsid w:val="01DB5F61"/>
    <w:rsid w:val="02A85843"/>
    <w:rsid w:val="03E10E3D"/>
    <w:rsid w:val="040A6D4F"/>
    <w:rsid w:val="04AF0289"/>
    <w:rsid w:val="04BD534E"/>
    <w:rsid w:val="06DA2B3E"/>
    <w:rsid w:val="08D8297C"/>
    <w:rsid w:val="0ABD4616"/>
    <w:rsid w:val="0AEC6B9F"/>
    <w:rsid w:val="0B550437"/>
    <w:rsid w:val="0B931AB3"/>
    <w:rsid w:val="0CC57957"/>
    <w:rsid w:val="0CCE6214"/>
    <w:rsid w:val="0D1D14D6"/>
    <w:rsid w:val="0D43328C"/>
    <w:rsid w:val="0DDD1ED8"/>
    <w:rsid w:val="0F2F22DD"/>
    <w:rsid w:val="10FC6D94"/>
    <w:rsid w:val="11C51589"/>
    <w:rsid w:val="12012836"/>
    <w:rsid w:val="12330D35"/>
    <w:rsid w:val="129C3166"/>
    <w:rsid w:val="12C82010"/>
    <w:rsid w:val="13C1629A"/>
    <w:rsid w:val="15D65AD9"/>
    <w:rsid w:val="16D2600F"/>
    <w:rsid w:val="174639AF"/>
    <w:rsid w:val="174E4F35"/>
    <w:rsid w:val="17D901CF"/>
    <w:rsid w:val="1805640B"/>
    <w:rsid w:val="183B3C59"/>
    <w:rsid w:val="18E4167C"/>
    <w:rsid w:val="1A5D1377"/>
    <w:rsid w:val="1A6C18E6"/>
    <w:rsid w:val="1B03140C"/>
    <w:rsid w:val="1B7A033A"/>
    <w:rsid w:val="1BB429E1"/>
    <w:rsid w:val="1C005DF9"/>
    <w:rsid w:val="1D04197F"/>
    <w:rsid w:val="1DA86809"/>
    <w:rsid w:val="1DAB5FF1"/>
    <w:rsid w:val="1E9375D8"/>
    <w:rsid w:val="23165B2D"/>
    <w:rsid w:val="23BE4583"/>
    <w:rsid w:val="24BB2162"/>
    <w:rsid w:val="25265A8C"/>
    <w:rsid w:val="25363F8A"/>
    <w:rsid w:val="254F3E71"/>
    <w:rsid w:val="284475E2"/>
    <w:rsid w:val="28620668"/>
    <w:rsid w:val="2BB040A0"/>
    <w:rsid w:val="2C0B09EC"/>
    <w:rsid w:val="2CF32DC4"/>
    <w:rsid w:val="2D0E5742"/>
    <w:rsid w:val="2D350F0C"/>
    <w:rsid w:val="2E6024B6"/>
    <w:rsid w:val="2E912AC6"/>
    <w:rsid w:val="307A05B8"/>
    <w:rsid w:val="30F57774"/>
    <w:rsid w:val="31641B20"/>
    <w:rsid w:val="323F7028"/>
    <w:rsid w:val="327704CF"/>
    <w:rsid w:val="328B0ACE"/>
    <w:rsid w:val="32F11270"/>
    <w:rsid w:val="337623A3"/>
    <w:rsid w:val="33E90D8D"/>
    <w:rsid w:val="348B6C14"/>
    <w:rsid w:val="363032E6"/>
    <w:rsid w:val="37892A24"/>
    <w:rsid w:val="37C23CFB"/>
    <w:rsid w:val="38305AC7"/>
    <w:rsid w:val="392D442A"/>
    <w:rsid w:val="3AA820AF"/>
    <w:rsid w:val="3E11529C"/>
    <w:rsid w:val="3F031BB9"/>
    <w:rsid w:val="3FCF0C47"/>
    <w:rsid w:val="40555155"/>
    <w:rsid w:val="44797A2A"/>
    <w:rsid w:val="44FD0F76"/>
    <w:rsid w:val="468176B4"/>
    <w:rsid w:val="48221D0F"/>
    <w:rsid w:val="4ACF0AD8"/>
    <w:rsid w:val="4BA242F8"/>
    <w:rsid w:val="4C956827"/>
    <w:rsid w:val="4DAF55F9"/>
    <w:rsid w:val="4DB516AC"/>
    <w:rsid w:val="4E7E4AA9"/>
    <w:rsid w:val="504071FC"/>
    <w:rsid w:val="50BA0577"/>
    <w:rsid w:val="511368E3"/>
    <w:rsid w:val="513A398F"/>
    <w:rsid w:val="537A26C4"/>
    <w:rsid w:val="54F31CC3"/>
    <w:rsid w:val="554C1A13"/>
    <w:rsid w:val="5565712F"/>
    <w:rsid w:val="56210986"/>
    <w:rsid w:val="5639695E"/>
    <w:rsid w:val="56A54B99"/>
    <w:rsid w:val="577E40E8"/>
    <w:rsid w:val="57851BB8"/>
    <w:rsid w:val="58DB3F0A"/>
    <w:rsid w:val="59725913"/>
    <w:rsid w:val="5A57379D"/>
    <w:rsid w:val="5A707FAA"/>
    <w:rsid w:val="5C222C22"/>
    <w:rsid w:val="5CA83CF3"/>
    <w:rsid w:val="5D8D1A66"/>
    <w:rsid w:val="5E0B163B"/>
    <w:rsid w:val="5E235A53"/>
    <w:rsid w:val="5F960253"/>
    <w:rsid w:val="607D7D06"/>
    <w:rsid w:val="60B731F7"/>
    <w:rsid w:val="618145C3"/>
    <w:rsid w:val="63DF3663"/>
    <w:rsid w:val="64175266"/>
    <w:rsid w:val="649E376F"/>
    <w:rsid w:val="651248C4"/>
    <w:rsid w:val="65EA4362"/>
    <w:rsid w:val="666A3227"/>
    <w:rsid w:val="68F23D0C"/>
    <w:rsid w:val="69880DFF"/>
    <w:rsid w:val="6A4F36D2"/>
    <w:rsid w:val="6ABE2659"/>
    <w:rsid w:val="6B1472DF"/>
    <w:rsid w:val="6B1F6E15"/>
    <w:rsid w:val="6BBC65E0"/>
    <w:rsid w:val="6CCB5566"/>
    <w:rsid w:val="6D362BB1"/>
    <w:rsid w:val="6D517B42"/>
    <w:rsid w:val="6D9201BA"/>
    <w:rsid w:val="6D961A80"/>
    <w:rsid w:val="6DB658A1"/>
    <w:rsid w:val="6EC7046F"/>
    <w:rsid w:val="6EF702C6"/>
    <w:rsid w:val="6F105995"/>
    <w:rsid w:val="71210DBA"/>
    <w:rsid w:val="712319DC"/>
    <w:rsid w:val="74A227B7"/>
    <w:rsid w:val="755D00CF"/>
    <w:rsid w:val="76321F79"/>
    <w:rsid w:val="76535C77"/>
    <w:rsid w:val="76695B54"/>
    <w:rsid w:val="76915BE5"/>
    <w:rsid w:val="76B91B9B"/>
    <w:rsid w:val="776B27F0"/>
    <w:rsid w:val="789F1DA3"/>
    <w:rsid w:val="79BC2E6F"/>
    <w:rsid w:val="7A401D50"/>
    <w:rsid w:val="7B03630A"/>
    <w:rsid w:val="7C0337DF"/>
    <w:rsid w:val="7C0D1626"/>
    <w:rsid w:val="7EC3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3">
    <w:name w:val="Plain Text"/>
    <w:basedOn w:val="1"/>
    <w:unhideWhenUsed/>
    <w:qFormat/>
    <w:uiPriority w:val="99"/>
    <w:rPr>
      <w:rFonts w:ascii="宋体" w:hAnsi="Courier New" w:cs="Courier New"/>
      <w:szCs w:val="21"/>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2019-12-27T03:13:00Z</dcterms:created>
  <dc:creator>AL-Azhar</dc:creator>
  <cp:lastModifiedBy>藤伊半卷</cp:lastModifiedBy>
  <cp:lastPrinted>2021-06-04T16:17:00Z</cp:lastPrinted>
  <dcterms:modified xsi:type="dcterms:W3CDTF">2021-06-08T02:15:15Z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74438E73ACD64890A67901321DA27AB3</vt:lpwstr>
  </property>
</Properties>
</file>